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598"/>
        </w:tabs>
        <w:spacing w:line="500" w:lineRule="exact"/>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1</w:t>
      </w:r>
    </w:p>
    <w:p>
      <w:pPr>
        <w:tabs>
          <w:tab w:val="left" w:pos="3598"/>
        </w:tabs>
        <w:spacing w:line="500" w:lineRule="exact"/>
        <w:jc w:val="center"/>
        <w:rPr>
          <w:rFonts w:hint="eastAsia" w:ascii="方正小标宋简体" w:hAnsi="方正小标宋简体" w:eastAsia="方正小标宋简体" w:cs="方正小标宋简体"/>
          <w:color w:val="333333"/>
          <w:sz w:val="24"/>
          <w:szCs w:val="24"/>
        </w:rPr>
      </w:pPr>
      <w:r>
        <w:rPr>
          <w:rFonts w:hint="eastAsia" w:ascii="方正小标宋简体" w:hAnsi="方正小标宋简体" w:eastAsia="方正小标宋简体" w:cs="方正小标宋简体"/>
          <w:b/>
          <w:bCs/>
          <w:color w:val="333333"/>
          <w:sz w:val="28"/>
          <w:szCs w:val="28"/>
        </w:rPr>
        <w:t>广东财经大学普教本科教师教学质量评价指标及评分规则</w:t>
      </w:r>
    </w:p>
    <w:tbl>
      <w:tblPr>
        <w:tblStyle w:val="7"/>
        <w:tblpPr w:leftFromText="180" w:rightFromText="180" w:vertAnchor="text" w:horzAnchor="margin" w:tblpXSpec="center" w:tblpY="126"/>
        <w:tblW w:w="10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42" w:type="dxa"/>
            <w:vAlign w:val="center"/>
          </w:tcPr>
          <w:p>
            <w:pPr>
              <w:tabs>
                <w:tab w:val="left" w:pos="3598"/>
              </w:tabs>
              <w:spacing w:line="340" w:lineRule="exact"/>
              <w:jc w:val="center"/>
              <w:rPr>
                <w:rFonts w:ascii="仿宋_GB2312" w:hAnsi="楷体" w:eastAsia="仿宋_GB2312"/>
                <w:color w:val="333333"/>
                <w:sz w:val="32"/>
                <w:szCs w:val="32"/>
              </w:rPr>
            </w:pPr>
            <w:r>
              <w:rPr>
                <w:rFonts w:hint="eastAsia" w:ascii="仿宋_GB2312" w:hAnsi="楷体" w:eastAsia="仿宋_GB2312" w:cs="楷体"/>
                <w:b/>
                <w:bCs/>
                <w:sz w:val="24"/>
                <w:szCs w:val="24"/>
              </w:rPr>
              <w:t>一级指标及权重</w:t>
            </w:r>
          </w:p>
        </w:tc>
        <w:tc>
          <w:tcPr>
            <w:tcW w:w="1276" w:type="dxa"/>
            <w:vAlign w:val="center"/>
          </w:tcPr>
          <w:p>
            <w:pPr>
              <w:tabs>
                <w:tab w:val="left" w:pos="3598"/>
              </w:tabs>
              <w:spacing w:line="340" w:lineRule="exact"/>
              <w:jc w:val="center"/>
              <w:rPr>
                <w:rFonts w:ascii="仿宋_GB2312" w:hAnsi="楷体" w:eastAsia="仿宋_GB2312"/>
                <w:b/>
                <w:bCs/>
                <w:color w:val="333333"/>
                <w:sz w:val="24"/>
                <w:szCs w:val="24"/>
              </w:rPr>
            </w:pPr>
            <w:r>
              <w:rPr>
                <w:rFonts w:hint="eastAsia" w:ascii="仿宋_GB2312" w:hAnsi="楷体" w:eastAsia="仿宋_GB2312" w:cs="楷体"/>
                <w:b/>
                <w:bCs/>
                <w:color w:val="333333"/>
                <w:sz w:val="24"/>
                <w:szCs w:val="24"/>
              </w:rPr>
              <w:t>二级指标</w:t>
            </w:r>
          </w:p>
        </w:tc>
        <w:tc>
          <w:tcPr>
            <w:tcW w:w="8222" w:type="dxa"/>
            <w:vAlign w:val="center"/>
          </w:tcPr>
          <w:p>
            <w:pPr>
              <w:tabs>
                <w:tab w:val="left" w:pos="3598"/>
              </w:tabs>
              <w:spacing w:line="340" w:lineRule="exact"/>
              <w:jc w:val="center"/>
              <w:rPr>
                <w:rFonts w:ascii="仿宋_GB2312" w:hAnsi="楷体" w:eastAsia="仿宋_GB2312"/>
                <w:b/>
                <w:bCs/>
                <w:color w:val="333333"/>
                <w:sz w:val="24"/>
                <w:szCs w:val="24"/>
              </w:rPr>
            </w:pPr>
            <w:r>
              <w:rPr>
                <w:rFonts w:hint="eastAsia" w:ascii="仿宋_GB2312" w:hAnsi="楷体" w:eastAsia="仿宋_GB2312" w:cs="楷体"/>
                <w:b/>
                <w:bCs/>
                <w:color w:val="333333"/>
                <w:sz w:val="24"/>
                <w:szCs w:val="24"/>
              </w:rPr>
              <w:t>计分规则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42" w:type="dxa"/>
            <w:vMerge w:val="restart"/>
            <w:vAlign w:val="center"/>
          </w:tcPr>
          <w:p>
            <w:pPr>
              <w:tabs>
                <w:tab w:val="left" w:pos="3598"/>
              </w:tabs>
              <w:spacing w:line="340" w:lineRule="exact"/>
              <w:jc w:val="center"/>
              <w:rPr>
                <w:rFonts w:ascii="仿宋_GB2312" w:hAnsi="楷体" w:eastAsia="仿宋_GB2312"/>
                <w:color w:val="333333"/>
                <w:sz w:val="24"/>
                <w:szCs w:val="24"/>
              </w:rPr>
            </w:pPr>
            <w:r>
              <w:rPr>
                <w:rFonts w:hint="eastAsia" w:ascii="仿宋_GB2312" w:hAnsi="楷体" w:eastAsia="仿宋_GB2312" w:cs="楷体"/>
                <w:color w:val="333333"/>
                <w:sz w:val="24"/>
                <w:szCs w:val="24"/>
              </w:rPr>
              <w:t>课堂教学质量</w:t>
            </w:r>
          </w:p>
          <w:p>
            <w:pPr>
              <w:tabs>
                <w:tab w:val="left" w:pos="3598"/>
              </w:tabs>
              <w:spacing w:line="340" w:lineRule="exact"/>
              <w:jc w:val="center"/>
              <w:rPr>
                <w:rFonts w:ascii="仿宋_GB2312" w:hAnsi="楷体" w:eastAsia="仿宋_GB2312"/>
                <w:color w:val="333333"/>
                <w:sz w:val="24"/>
                <w:szCs w:val="24"/>
              </w:rPr>
            </w:pPr>
            <w:r>
              <w:rPr>
                <w:rFonts w:hint="eastAsia" w:ascii="仿宋_GB2312" w:hAnsi="楷体" w:eastAsia="仿宋_GB2312" w:cs="楷体"/>
                <w:color w:val="333333"/>
                <w:sz w:val="24"/>
                <w:szCs w:val="24"/>
              </w:rPr>
              <w:t>（7</w:t>
            </w:r>
            <w:r>
              <w:rPr>
                <w:rFonts w:hint="eastAsia" w:ascii="仿宋_GB2312" w:hAnsi="楷体" w:eastAsia="仿宋_GB2312" w:cs="楷体"/>
                <w:color w:val="333333"/>
                <w:sz w:val="24"/>
                <w:szCs w:val="24"/>
                <w:lang w:val="en-US" w:eastAsia="zh-CN"/>
              </w:rPr>
              <w:t>5</w:t>
            </w:r>
            <w:r>
              <w:rPr>
                <w:rFonts w:hint="eastAsia" w:ascii="仿宋_GB2312" w:hAnsi="楷体" w:eastAsia="仿宋_GB2312" w:cs="楷体"/>
                <w:color w:val="333333"/>
                <w:sz w:val="24"/>
                <w:szCs w:val="24"/>
              </w:rPr>
              <w:t>%）</w:t>
            </w:r>
          </w:p>
        </w:tc>
        <w:tc>
          <w:tcPr>
            <w:tcW w:w="1276" w:type="dxa"/>
            <w:vAlign w:val="center"/>
          </w:tcPr>
          <w:p>
            <w:pPr>
              <w:tabs>
                <w:tab w:val="left" w:pos="3598"/>
              </w:tabs>
              <w:spacing w:line="340" w:lineRule="exact"/>
              <w:jc w:val="center"/>
              <w:rPr>
                <w:rFonts w:hint="eastAsia" w:ascii="仿宋_GB2312" w:hAnsi="楷体" w:eastAsia="仿宋_GB2312"/>
                <w:color w:val="333333"/>
                <w:sz w:val="32"/>
                <w:szCs w:val="32"/>
                <w:u w:val="none"/>
                <w:lang w:eastAsia="zh-CN"/>
              </w:rPr>
            </w:pPr>
            <w:r>
              <w:rPr>
                <w:rFonts w:hint="eastAsia" w:ascii="仿宋_GB2312" w:hAnsi="楷体" w:eastAsia="仿宋_GB2312" w:cs="楷体"/>
                <w:color w:val="333333"/>
                <w:sz w:val="24"/>
                <w:szCs w:val="24"/>
                <w:u w:val="none"/>
              </w:rPr>
              <w:t>学生评教</w:t>
            </w:r>
            <w:r>
              <w:rPr>
                <w:rFonts w:hint="eastAsia" w:ascii="仿宋_GB2312" w:hAnsi="楷体" w:eastAsia="仿宋_GB2312" w:cs="楷体"/>
                <w:color w:val="333333"/>
                <w:sz w:val="24"/>
                <w:szCs w:val="24"/>
                <w:u w:val="none"/>
                <w:lang w:eastAsia="zh-CN"/>
              </w:rPr>
              <w:t>（</w:t>
            </w:r>
            <w:r>
              <w:rPr>
                <w:rFonts w:hint="eastAsia" w:ascii="仿宋_GB2312" w:hAnsi="楷体" w:eastAsia="仿宋_GB2312" w:cs="楷体"/>
                <w:color w:val="333333"/>
                <w:sz w:val="24"/>
                <w:szCs w:val="24"/>
                <w:u w:val="none"/>
                <w:lang w:val="en-US" w:eastAsia="zh-CN"/>
              </w:rPr>
              <w:t>60%</w:t>
            </w:r>
            <w:r>
              <w:rPr>
                <w:rFonts w:hint="eastAsia" w:ascii="仿宋_GB2312" w:hAnsi="楷体" w:eastAsia="仿宋_GB2312" w:cs="楷体"/>
                <w:color w:val="333333"/>
                <w:sz w:val="24"/>
                <w:szCs w:val="24"/>
                <w:u w:val="none"/>
                <w:lang w:eastAsia="zh-CN"/>
              </w:rPr>
              <w:t>）</w:t>
            </w:r>
          </w:p>
        </w:tc>
        <w:tc>
          <w:tcPr>
            <w:tcW w:w="8222" w:type="dxa"/>
          </w:tcPr>
          <w:p>
            <w:pPr>
              <w:spacing w:line="340" w:lineRule="exact"/>
              <w:rPr>
                <w:rFonts w:ascii="仿宋_GB2312" w:hAnsi="楷体" w:eastAsia="仿宋_GB2312"/>
                <w:color w:val="333333"/>
                <w:sz w:val="24"/>
                <w:szCs w:val="24"/>
                <w:u w:val="none"/>
              </w:rPr>
            </w:pPr>
            <w:r>
              <w:rPr>
                <w:rFonts w:hint="eastAsia" w:ascii="仿宋_GB2312" w:hAnsi="楷体" w:eastAsia="仿宋_GB2312" w:cs="楷体"/>
                <w:color w:val="333333"/>
                <w:sz w:val="24"/>
                <w:szCs w:val="24"/>
                <w:u w:val="none"/>
              </w:rPr>
              <w:t xml:space="preserve">    评选学年两个学期学生网上评教平均分（只承担一学期教学任务的教师，只算一学期的网评教得分）。</w:t>
            </w:r>
          </w:p>
          <w:p>
            <w:pPr>
              <w:spacing w:line="340" w:lineRule="exact"/>
              <w:rPr>
                <w:rFonts w:ascii="仿宋_GB2312" w:hAnsi="楷体" w:eastAsia="仿宋_GB2312"/>
                <w:color w:val="333333"/>
                <w:sz w:val="24"/>
                <w:szCs w:val="24"/>
                <w:u w:val="none"/>
              </w:rPr>
            </w:pPr>
            <w:r>
              <w:rPr>
                <w:rFonts w:hint="eastAsia" w:ascii="仿宋_GB2312" w:hAnsi="楷体" w:eastAsia="仿宋_GB2312" w:cs="楷体"/>
                <w:color w:val="333333"/>
                <w:sz w:val="24"/>
                <w:szCs w:val="24"/>
                <w:u w:val="none"/>
              </w:rPr>
              <w:t xml:space="preserve">    每个课程班的学生评价得分为去掉学生评分的前10%高分和后10%低分的平均分值。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42" w:type="dxa"/>
            <w:vMerge w:val="continue"/>
            <w:vAlign w:val="center"/>
          </w:tcPr>
          <w:p>
            <w:pPr>
              <w:tabs>
                <w:tab w:val="left" w:pos="3598"/>
              </w:tabs>
              <w:spacing w:line="340" w:lineRule="exact"/>
              <w:jc w:val="center"/>
              <w:rPr>
                <w:rFonts w:hint="eastAsia" w:ascii="仿宋_GB2312" w:hAnsi="楷体" w:eastAsia="仿宋_GB2312" w:cs="楷体"/>
                <w:color w:val="333333"/>
                <w:sz w:val="24"/>
                <w:szCs w:val="24"/>
              </w:rPr>
            </w:pPr>
          </w:p>
        </w:tc>
        <w:tc>
          <w:tcPr>
            <w:tcW w:w="1276" w:type="dxa"/>
            <w:vAlign w:val="center"/>
          </w:tcPr>
          <w:p>
            <w:pPr>
              <w:tabs>
                <w:tab w:val="left" w:pos="3598"/>
              </w:tabs>
              <w:spacing w:line="340" w:lineRule="exact"/>
              <w:jc w:val="center"/>
              <w:rPr>
                <w:rFonts w:hint="default" w:ascii="仿宋_GB2312" w:hAnsi="楷体" w:eastAsia="仿宋_GB2312" w:cs="楷体"/>
                <w:color w:val="333333"/>
                <w:sz w:val="24"/>
                <w:szCs w:val="24"/>
                <w:u w:val="none"/>
                <w:lang w:val="en-US" w:eastAsia="zh-CN"/>
              </w:rPr>
            </w:pPr>
            <w:r>
              <w:rPr>
                <w:rFonts w:hint="eastAsia" w:ascii="仿宋_GB2312" w:hAnsi="楷体" w:eastAsia="仿宋_GB2312" w:cs="楷体"/>
                <w:color w:val="333333"/>
                <w:sz w:val="24"/>
                <w:szCs w:val="24"/>
                <w:u w:val="none"/>
                <w:lang w:val="en-US" w:eastAsia="zh-CN"/>
              </w:rPr>
              <w:t>督导评教</w:t>
            </w:r>
          </w:p>
          <w:p>
            <w:pPr>
              <w:tabs>
                <w:tab w:val="left" w:pos="3598"/>
              </w:tabs>
              <w:spacing w:line="340" w:lineRule="exact"/>
              <w:jc w:val="center"/>
              <w:rPr>
                <w:rFonts w:hint="default" w:ascii="仿宋_GB2312" w:hAnsi="楷体" w:eastAsia="仿宋_GB2312" w:cs="楷体"/>
                <w:color w:val="333333"/>
                <w:sz w:val="24"/>
                <w:szCs w:val="24"/>
                <w:u w:val="none"/>
                <w:lang w:val="en-US" w:eastAsia="zh-CN"/>
              </w:rPr>
            </w:pPr>
            <w:r>
              <w:rPr>
                <w:rFonts w:hint="eastAsia" w:ascii="仿宋_GB2312" w:hAnsi="楷体" w:eastAsia="仿宋_GB2312" w:cs="楷体"/>
                <w:color w:val="333333"/>
                <w:sz w:val="24"/>
                <w:szCs w:val="24"/>
                <w:u w:val="none"/>
                <w:lang w:val="en-US" w:eastAsia="zh-CN"/>
              </w:rPr>
              <w:t>（15%）</w:t>
            </w:r>
          </w:p>
        </w:tc>
        <w:tc>
          <w:tcPr>
            <w:tcW w:w="8222" w:type="dxa"/>
          </w:tcPr>
          <w:p>
            <w:pPr>
              <w:spacing w:line="340" w:lineRule="exact"/>
              <w:ind w:firstLine="480" w:firstLineChars="200"/>
              <w:rPr>
                <w:rFonts w:hint="eastAsia" w:ascii="仿宋_GB2312" w:hAnsi="楷体" w:eastAsia="仿宋_GB2312" w:cs="楷体"/>
                <w:color w:val="333333"/>
                <w:sz w:val="24"/>
                <w:szCs w:val="24"/>
                <w:u w:val="none"/>
                <w:lang w:val="en-US" w:eastAsia="zh-CN"/>
              </w:rPr>
            </w:pPr>
            <w:r>
              <w:rPr>
                <w:rFonts w:hint="eastAsia" w:ascii="仿宋_GB2312" w:hAnsi="楷体" w:eastAsia="仿宋_GB2312" w:cs="楷体"/>
                <w:color w:val="333333"/>
                <w:sz w:val="24"/>
                <w:szCs w:val="24"/>
                <w:u w:val="none"/>
                <w:lang w:val="en-US" w:eastAsia="zh-CN"/>
              </w:rPr>
              <w:t>校督导专家对该任课教师</w:t>
            </w:r>
            <w:r>
              <w:rPr>
                <w:rFonts w:hint="eastAsia" w:ascii="仿宋_GB2312" w:hAnsi="楷体" w:eastAsia="仿宋_GB2312" w:cs="楷体"/>
                <w:b w:val="0"/>
                <w:bCs w:val="0"/>
                <w:color w:val="auto"/>
                <w:sz w:val="24"/>
                <w:szCs w:val="24"/>
                <w:u w:val="none"/>
                <w:lang w:val="en-US" w:eastAsia="zh-CN"/>
              </w:rPr>
              <w:t>的两个学期授课</w:t>
            </w:r>
            <w:r>
              <w:rPr>
                <w:rFonts w:hint="eastAsia" w:ascii="仿宋_GB2312" w:hAnsi="楷体" w:eastAsia="仿宋_GB2312" w:cs="楷体"/>
                <w:color w:val="333333"/>
                <w:sz w:val="24"/>
                <w:szCs w:val="24"/>
                <w:u w:val="none"/>
                <w:lang w:val="en-US" w:eastAsia="zh-CN"/>
              </w:rPr>
              <w:t>评价分的平均分。</w:t>
            </w:r>
          </w:p>
          <w:p>
            <w:pPr>
              <w:spacing w:line="340" w:lineRule="exact"/>
              <w:ind w:firstLine="480" w:firstLineChars="200"/>
              <w:rPr>
                <w:rFonts w:hint="default" w:ascii="仿宋_GB2312" w:hAnsi="楷体" w:eastAsia="仿宋_GB2312" w:cs="楷体"/>
                <w:color w:val="333333"/>
                <w:sz w:val="24"/>
                <w:szCs w:val="24"/>
                <w:u w:val="none"/>
                <w:lang w:val="en-US" w:eastAsia="zh-CN"/>
              </w:rPr>
            </w:pPr>
            <w:r>
              <w:rPr>
                <w:rFonts w:hint="eastAsia" w:ascii="仿宋_GB2312" w:hAnsi="楷体" w:eastAsia="仿宋_GB2312" w:cs="楷体"/>
                <w:color w:val="333333"/>
                <w:sz w:val="24"/>
                <w:szCs w:val="24"/>
                <w:u w:val="none"/>
                <w:lang w:val="en-US" w:eastAsia="zh-CN"/>
              </w:rPr>
              <w:t>若出现任课教师没有督导评价分，可由该教师提交教学视频给校督导专家补评分。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242" w:type="dxa"/>
            <w:vMerge w:val="restart"/>
            <w:vAlign w:val="center"/>
          </w:tcPr>
          <w:p>
            <w:pPr>
              <w:tabs>
                <w:tab w:val="left" w:pos="3598"/>
              </w:tabs>
              <w:spacing w:line="340" w:lineRule="exact"/>
              <w:jc w:val="center"/>
              <w:rPr>
                <w:rFonts w:ascii="仿宋_GB2312" w:hAnsi="楷体" w:eastAsia="仿宋_GB2312"/>
                <w:color w:val="333333"/>
                <w:sz w:val="24"/>
                <w:szCs w:val="24"/>
              </w:rPr>
            </w:pPr>
            <w:r>
              <w:rPr>
                <w:rFonts w:hint="eastAsia" w:ascii="仿宋_GB2312" w:hAnsi="楷体" w:eastAsia="仿宋_GB2312" w:cs="楷体"/>
                <w:color w:val="333333"/>
                <w:sz w:val="24"/>
                <w:szCs w:val="24"/>
              </w:rPr>
              <w:t>教研教改（1</w:t>
            </w:r>
            <w:r>
              <w:rPr>
                <w:rFonts w:hint="eastAsia" w:ascii="仿宋_GB2312" w:hAnsi="楷体" w:eastAsia="仿宋_GB2312" w:cs="楷体"/>
                <w:color w:val="333333"/>
                <w:sz w:val="24"/>
                <w:szCs w:val="24"/>
                <w:lang w:val="en-US" w:eastAsia="zh-CN"/>
              </w:rPr>
              <w:t>0</w:t>
            </w:r>
            <w:r>
              <w:rPr>
                <w:rFonts w:hint="eastAsia" w:ascii="仿宋_GB2312" w:hAnsi="楷体" w:eastAsia="仿宋_GB2312" w:cs="楷体"/>
                <w:color w:val="333333"/>
                <w:sz w:val="24"/>
                <w:szCs w:val="24"/>
              </w:rPr>
              <w:t>%）</w:t>
            </w:r>
          </w:p>
        </w:tc>
        <w:tc>
          <w:tcPr>
            <w:tcW w:w="1276" w:type="dxa"/>
            <w:vAlign w:val="center"/>
          </w:tcPr>
          <w:p>
            <w:pPr>
              <w:tabs>
                <w:tab w:val="left" w:pos="3598"/>
              </w:tabs>
              <w:spacing w:line="340" w:lineRule="exact"/>
              <w:jc w:val="center"/>
              <w:rPr>
                <w:rFonts w:ascii="仿宋_GB2312" w:hAnsi="楷体" w:eastAsia="仿宋_GB2312"/>
                <w:color w:val="333333"/>
                <w:sz w:val="32"/>
                <w:szCs w:val="32"/>
              </w:rPr>
            </w:pPr>
            <w:r>
              <w:rPr>
                <w:rFonts w:hint="eastAsia" w:ascii="仿宋_GB2312" w:hAnsi="楷体" w:eastAsia="仿宋_GB2312" w:cs="楷体"/>
                <w:color w:val="333333"/>
                <w:sz w:val="24"/>
                <w:szCs w:val="24"/>
              </w:rPr>
              <w:t>教学成果奖</w:t>
            </w:r>
          </w:p>
        </w:tc>
        <w:tc>
          <w:tcPr>
            <w:tcW w:w="8222" w:type="dxa"/>
          </w:tcPr>
          <w:p>
            <w:pPr>
              <w:spacing w:line="340" w:lineRule="exact"/>
              <w:rPr>
                <w:rFonts w:ascii="仿宋_GB2312" w:hAnsi="楷体" w:eastAsia="仿宋_GB2312" w:cs="楷体"/>
                <w:color w:val="333333"/>
                <w:sz w:val="24"/>
                <w:szCs w:val="24"/>
              </w:rPr>
            </w:pPr>
            <w:r>
              <w:rPr>
                <w:rFonts w:hint="eastAsia" w:ascii="仿宋_GB2312" w:hAnsi="楷体" w:eastAsia="仿宋_GB2312" w:cs="楷体"/>
                <w:color w:val="333333"/>
                <w:sz w:val="24"/>
                <w:szCs w:val="24"/>
              </w:rPr>
              <w:t xml:space="preserve">    国家级教学成果一等</w:t>
            </w:r>
            <w:bookmarkStart w:id="0" w:name="_GoBack"/>
            <w:bookmarkEnd w:id="0"/>
            <w:r>
              <w:rPr>
                <w:rFonts w:hint="eastAsia" w:ascii="仿宋_GB2312" w:hAnsi="楷体" w:eastAsia="仿宋_GB2312" w:cs="楷体"/>
                <w:color w:val="333333"/>
                <w:sz w:val="24"/>
                <w:szCs w:val="24"/>
              </w:rPr>
              <w:t>奖、二等奖、省级教学成果一等奖、二等奖、校级教学成果特等奖、一等奖、二等奖主持人计分分别为15分、13分、11分、9分、7分、6分、5分，主持人之外的署名完成人得分从前往后依次按10%的比例递减。同一学年度不同级别的同一获奖项目从高计分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242" w:type="dxa"/>
            <w:vMerge w:val="continue"/>
            <w:vAlign w:val="center"/>
          </w:tcPr>
          <w:p>
            <w:pPr>
              <w:widowControl/>
              <w:tabs>
                <w:tab w:val="left" w:pos="3598"/>
              </w:tabs>
              <w:spacing w:line="340" w:lineRule="exact"/>
              <w:jc w:val="left"/>
              <w:rPr>
                <w:rFonts w:ascii="仿宋_GB2312" w:hAnsi="楷体" w:eastAsia="仿宋_GB2312"/>
                <w:color w:val="333333"/>
                <w:sz w:val="24"/>
                <w:szCs w:val="24"/>
              </w:rPr>
            </w:pPr>
          </w:p>
        </w:tc>
        <w:tc>
          <w:tcPr>
            <w:tcW w:w="1276" w:type="dxa"/>
            <w:vAlign w:val="center"/>
          </w:tcPr>
          <w:p>
            <w:pPr>
              <w:tabs>
                <w:tab w:val="left" w:pos="3598"/>
              </w:tabs>
              <w:spacing w:line="340" w:lineRule="exact"/>
              <w:jc w:val="center"/>
              <w:rPr>
                <w:rFonts w:ascii="仿宋_GB2312" w:hAnsi="楷体" w:eastAsia="仿宋_GB2312"/>
                <w:color w:val="333333"/>
                <w:sz w:val="24"/>
                <w:szCs w:val="24"/>
                <w:u w:val="none"/>
              </w:rPr>
            </w:pPr>
            <w:r>
              <w:rPr>
                <w:rFonts w:hint="eastAsia" w:ascii="仿宋_GB2312" w:hAnsi="楷体" w:eastAsia="仿宋_GB2312" w:cs="楷体"/>
                <w:color w:val="333333"/>
                <w:sz w:val="24"/>
                <w:szCs w:val="24"/>
                <w:u w:val="none"/>
                <w:lang w:val="en-US" w:eastAsia="zh-CN"/>
              </w:rPr>
              <w:t>出版</w:t>
            </w:r>
            <w:r>
              <w:rPr>
                <w:rFonts w:hint="eastAsia" w:ascii="仿宋_GB2312" w:hAnsi="楷体" w:eastAsia="仿宋_GB2312" w:cs="楷体"/>
                <w:color w:val="333333"/>
                <w:sz w:val="24"/>
                <w:szCs w:val="24"/>
                <w:u w:val="none"/>
              </w:rPr>
              <w:t>教材</w:t>
            </w:r>
          </w:p>
        </w:tc>
        <w:tc>
          <w:tcPr>
            <w:tcW w:w="8222" w:type="dxa"/>
            <w:vAlign w:val="center"/>
          </w:tcPr>
          <w:p>
            <w:pPr>
              <w:tabs>
                <w:tab w:val="left" w:pos="3598"/>
              </w:tabs>
              <w:spacing w:line="340" w:lineRule="exact"/>
              <w:ind w:firstLine="480" w:firstLineChars="200"/>
              <w:rPr>
                <w:rFonts w:hint="eastAsia" w:ascii="仿宋_GB2312" w:hAnsi="楷体" w:eastAsia="仿宋_GB2312" w:cs="楷体"/>
                <w:color w:val="333333"/>
                <w:sz w:val="24"/>
                <w:szCs w:val="24"/>
                <w:u w:val="none"/>
              </w:rPr>
            </w:pPr>
            <w:r>
              <w:rPr>
                <w:rFonts w:hint="eastAsia" w:ascii="仿宋_GB2312" w:hAnsi="楷体" w:eastAsia="仿宋_GB2312" w:cs="楷体"/>
                <w:color w:val="333333"/>
                <w:sz w:val="24"/>
                <w:szCs w:val="24"/>
                <w:u w:val="none"/>
              </w:rPr>
              <w:t>国家级规划教材主编、副主编计分分别为8分、6分。</w:t>
            </w:r>
          </w:p>
          <w:p>
            <w:pPr>
              <w:tabs>
                <w:tab w:val="left" w:pos="3598"/>
              </w:tabs>
              <w:spacing w:line="340" w:lineRule="exact"/>
              <w:ind w:firstLine="480" w:firstLineChars="200"/>
              <w:rPr>
                <w:rFonts w:hint="eastAsia" w:ascii="仿宋_GB2312" w:hAnsi="楷体" w:eastAsia="仿宋_GB2312"/>
                <w:color w:val="333333"/>
                <w:sz w:val="32"/>
                <w:szCs w:val="32"/>
                <w:u w:val="none"/>
                <w:lang w:eastAsia="zh-CN"/>
              </w:rPr>
            </w:pPr>
            <w:r>
              <w:rPr>
                <w:rFonts w:hint="eastAsia" w:ascii="仿宋_GB2312" w:hAnsi="楷体" w:eastAsia="仿宋_GB2312" w:cs="楷体"/>
                <w:color w:val="333333"/>
                <w:sz w:val="24"/>
                <w:szCs w:val="24"/>
                <w:u w:val="none"/>
                <w:lang w:val="en-US" w:eastAsia="zh-CN"/>
              </w:rPr>
              <w:t>经学校立项并验收通过的</w:t>
            </w:r>
            <w:r>
              <w:rPr>
                <w:rFonts w:hint="eastAsia" w:ascii="仿宋_GB2312" w:hAnsi="楷体" w:eastAsia="仿宋_GB2312" w:cs="楷体"/>
                <w:color w:val="333333"/>
                <w:sz w:val="24"/>
                <w:szCs w:val="24"/>
                <w:u w:val="none"/>
              </w:rPr>
              <w:t>正式出版教材计3分</w:t>
            </w:r>
            <w:r>
              <w:rPr>
                <w:rFonts w:hint="eastAsia" w:ascii="仿宋_GB2312" w:hAnsi="楷体" w:eastAsia="仿宋_GB2312" w:cs="楷体"/>
                <w:color w:val="333333"/>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tabs>
                <w:tab w:val="left" w:pos="3598"/>
              </w:tabs>
              <w:spacing w:line="340" w:lineRule="exact"/>
              <w:jc w:val="left"/>
              <w:rPr>
                <w:rFonts w:ascii="仿宋_GB2312" w:hAnsi="楷体" w:eastAsia="仿宋_GB2312"/>
                <w:color w:val="333333"/>
                <w:sz w:val="24"/>
                <w:szCs w:val="24"/>
              </w:rPr>
            </w:pPr>
          </w:p>
        </w:tc>
        <w:tc>
          <w:tcPr>
            <w:tcW w:w="1276" w:type="dxa"/>
            <w:vAlign w:val="center"/>
          </w:tcPr>
          <w:p>
            <w:pPr>
              <w:tabs>
                <w:tab w:val="left" w:pos="3598"/>
              </w:tabs>
              <w:spacing w:line="340" w:lineRule="exact"/>
              <w:jc w:val="center"/>
              <w:rPr>
                <w:rFonts w:ascii="仿宋_GB2312" w:hAnsi="楷体" w:eastAsia="仿宋_GB2312"/>
                <w:color w:val="333333"/>
                <w:sz w:val="24"/>
                <w:szCs w:val="24"/>
              </w:rPr>
            </w:pPr>
            <w:r>
              <w:rPr>
                <w:rFonts w:hint="eastAsia" w:ascii="仿宋_GB2312" w:hAnsi="楷体" w:eastAsia="仿宋_GB2312" w:cs="楷体"/>
                <w:color w:val="333333"/>
                <w:sz w:val="24"/>
                <w:szCs w:val="24"/>
              </w:rPr>
              <w:t>教研论文</w:t>
            </w:r>
          </w:p>
        </w:tc>
        <w:tc>
          <w:tcPr>
            <w:tcW w:w="8222" w:type="dxa"/>
          </w:tcPr>
          <w:p>
            <w:pPr>
              <w:spacing w:line="340" w:lineRule="exact"/>
              <w:rPr>
                <w:rFonts w:ascii="仿宋_GB2312" w:hAnsi="楷体" w:eastAsia="仿宋_GB2312" w:cs="楷体"/>
                <w:color w:val="333333"/>
                <w:sz w:val="24"/>
                <w:szCs w:val="24"/>
              </w:rPr>
            </w:pPr>
            <w:r>
              <w:rPr>
                <w:rFonts w:hint="eastAsia" w:ascii="仿宋_GB2312" w:hAnsi="楷体" w:eastAsia="仿宋_GB2312" w:cs="楷体"/>
                <w:color w:val="333333"/>
                <w:sz w:val="24"/>
                <w:szCs w:val="24"/>
              </w:rPr>
              <w:t xml:space="preserve">    在学校Ｃ类及以上期刊、其他公开出版期刊公开发表教研论文以及在《法商高教研究》发表教研论文，第一作者分别按4分/篇、2分/篇和1分/篇计分，第一作者之外的其他作者计分从前往后依次按20%的比例递减。</w:t>
            </w:r>
          </w:p>
          <w:p>
            <w:pPr>
              <w:spacing w:line="340" w:lineRule="exact"/>
              <w:rPr>
                <w:rFonts w:ascii="仿宋_GB2312" w:hAnsi="楷体" w:eastAsia="仿宋_GB2312" w:cs="楷体"/>
                <w:color w:val="333333"/>
                <w:sz w:val="24"/>
                <w:szCs w:val="24"/>
              </w:rPr>
            </w:pPr>
            <w:r>
              <w:rPr>
                <w:rFonts w:hint="eastAsia" w:ascii="仿宋_GB2312" w:hAnsi="楷体" w:eastAsia="仿宋_GB2312" w:cs="楷体"/>
                <w:color w:val="333333"/>
                <w:sz w:val="24"/>
                <w:szCs w:val="24"/>
              </w:rPr>
              <w:t xml:space="preserve">    在学校Ｃ类及以上期刊的增刊、其他公开出版期刊的增刊上公开发表教研论文，第一作者分别按2分/篇和1分/篇计分，第一作者之外的其他作者计分从前往后依次按20%的比例递减。</w:t>
            </w:r>
          </w:p>
          <w:p>
            <w:pPr>
              <w:spacing w:line="340" w:lineRule="exact"/>
              <w:ind w:firstLine="480"/>
              <w:rPr>
                <w:rFonts w:hint="eastAsia" w:ascii="仿宋_GB2312" w:hAnsi="楷体" w:eastAsia="仿宋_GB2312" w:cs="楷体"/>
                <w:color w:val="333333"/>
                <w:sz w:val="24"/>
                <w:szCs w:val="24"/>
              </w:rPr>
            </w:pPr>
            <w:r>
              <w:rPr>
                <w:rFonts w:hint="eastAsia" w:ascii="仿宋_GB2312" w:hAnsi="楷体" w:eastAsia="仿宋_GB2312" w:cs="楷体"/>
                <w:color w:val="333333"/>
                <w:sz w:val="24"/>
                <w:szCs w:val="24"/>
              </w:rPr>
              <w:t xml:space="preserve">在公开出版的论文集发表教研论文，第一作者按1分/篇计分,第一作者之外的其他作者计分从前往后依次按20%的比例递减。同一作者在同一种论文集发表两篇及以上的只按一篇计。 </w:t>
            </w:r>
          </w:p>
          <w:p>
            <w:pPr>
              <w:spacing w:line="340" w:lineRule="exact"/>
              <w:ind w:firstLine="480"/>
              <w:rPr>
                <w:rFonts w:ascii="仿宋_GB2312" w:hAnsi="楷体" w:eastAsia="仿宋_GB2312" w:cs="楷体"/>
                <w:color w:val="333333"/>
                <w:sz w:val="24"/>
                <w:szCs w:val="24"/>
              </w:rPr>
            </w:pPr>
            <w:r>
              <w:rPr>
                <w:rFonts w:hint="eastAsia" w:ascii="仿宋_GB2312" w:hAnsi="楷体" w:eastAsia="仿宋_GB2312" w:cs="楷体"/>
                <w:color w:val="333333"/>
                <w:sz w:val="24"/>
                <w:szCs w:val="24"/>
                <w:u w:val="none"/>
              </w:rPr>
              <w:t>每</w:t>
            </w:r>
            <w:r>
              <w:rPr>
                <w:rFonts w:hint="eastAsia" w:ascii="仿宋_GB2312" w:hAnsi="楷体" w:eastAsia="仿宋_GB2312" w:cs="楷体"/>
                <w:color w:val="333333"/>
                <w:sz w:val="24"/>
                <w:szCs w:val="24"/>
                <w:u w:val="none"/>
                <w:lang w:val="en-US" w:eastAsia="zh-CN"/>
              </w:rPr>
              <w:t>篇论文只限前三名作者。</w:t>
            </w:r>
            <w:r>
              <w:rPr>
                <w:rFonts w:hint="eastAsia" w:ascii="仿宋_GB2312" w:hAnsi="楷体" w:eastAsia="仿宋_GB2312" w:cs="楷体"/>
                <w:color w:val="333333"/>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pPr>
              <w:widowControl/>
              <w:tabs>
                <w:tab w:val="left" w:pos="3598"/>
              </w:tabs>
              <w:spacing w:line="340" w:lineRule="exact"/>
              <w:jc w:val="left"/>
              <w:rPr>
                <w:rFonts w:ascii="仿宋_GB2312" w:hAnsi="楷体" w:eastAsia="仿宋_GB2312"/>
                <w:color w:val="333333"/>
                <w:sz w:val="24"/>
                <w:szCs w:val="24"/>
              </w:rPr>
            </w:pPr>
          </w:p>
        </w:tc>
        <w:tc>
          <w:tcPr>
            <w:tcW w:w="1276" w:type="dxa"/>
            <w:vAlign w:val="center"/>
          </w:tcPr>
          <w:p>
            <w:pPr>
              <w:tabs>
                <w:tab w:val="left" w:pos="3598"/>
              </w:tabs>
              <w:spacing w:line="340" w:lineRule="exact"/>
              <w:jc w:val="center"/>
              <w:rPr>
                <w:rFonts w:ascii="仿宋_GB2312" w:hAnsi="楷体" w:eastAsia="仿宋_GB2312"/>
                <w:color w:val="333333"/>
                <w:sz w:val="24"/>
                <w:szCs w:val="24"/>
              </w:rPr>
            </w:pPr>
            <w:r>
              <w:rPr>
                <w:rFonts w:hint="eastAsia" w:ascii="仿宋_GB2312" w:hAnsi="楷体" w:eastAsia="仿宋_GB2312" w:cs="楷体"/>
                <w:color w:val="333333"/>
                <w:sz w:val="24"/>
                <w:szCs w:val="24"/>
              </w:rPr>
              <w:t>教学竞赛获奖</w:t>
            </w:r>
          </w:p>
        </w:tc>
        <w:tc>
          <w:tcPr>
            <w:tcW w:w="8222" w:type="dxa"/>
          </w:tcPr>
          <w:p>
            <w:pPr>
              <w:spacing w:line="340" w:lineRule="exact"/>
              <w:ind w:firstLine="480"/>
              <w:rPr>
                <w:rFonts w:hint="eastAsia" w:ascii="仿宋_GB2312" w:hAnsi="楷体" w:eastAsia="仿宋_GB2312" w:cs="楷体"/>
                <w:color w:val="333333"/>
                <w:sz w:val="24"/>
                <w:szCs w:val="24"/>
              </w:rPr>
            </w:pPr>
            <w:r>
              <w:rPr>
                <w:rFonts w:hint="eastAsia" w:ascii="仿宋_GB2312" w:hAnsi="楷体" w:eastAsia="仿宋_GB2312" w:cs="楷体"/>
                <w:color w:val="333333"/>
                <w:sz w:val="24"/>
                <w:szCs w:val="24"/>
              </w:rPr>
              <w:t xml:space="preserve">面向学校所有教学机构的国家级和省级教学竞赛（含幕课、微课及课件竞赛）获奖，按获奖前四等级分别计8分、7分、6分、5分和4分、3分、2分、1分。 </w:t>
            </w:r>
            <w:r>
              <w:rPr>
                <w:rFonts w:hint="eastAsia" w:ascii="仿宋_GB2312" w:hAnsi="楷体" w:eastAsia="仿宋_GB2312" w:cs="楷体"/>
                <w:color w:val="333333"/>
                <w:sz w:val="24"/>
                <w:szCs w:val="24"/>
              </w:rPr>
              <w:fldChar w:fldCharType="begin"/>
            </w:r>
            <w:r>
              <w:rPr>
                <w:rFonts w:hint="eastAsia" w:ascii="仿宋_GB2312" w:hAnsi="楷体" w:eastAsia="仿宋_GB2312" w:cs="楷体"/>
                <w:color w:val="333333"/>
                <w:sz w:val="24"/>
                <w:szCs w:val="24"/>
              </w:rPr>
              <w:instrText xml:space="preserve"> = 1 \* GB3 </w:instrText>
            </w:r>
            <w:r>
              <w:rPr>
                <w:rFonts w:hint="eastAsia" w:ascii="仿宋_GB2312" w:hAnsi="楷体" w:eastAsia="仿宋_GB2312" w:cs="楷体"/>
                <w:color w:val="333333"/>
                <w:sz w:val="24"/>
                <w:szCs w:val="24"/>
              </w:rPr>
              <w:fldChar w:fldCharType="separate"/>
            </w:r>
            <w:r>
              <w:rPr>
                <w:rFonts w:hint="eastAsia" w:ascii="仿宋_GB2312" w:hAnsi="楷体" w:eastAsia="仿宋_GB2312" w:cs="楷体"/>
                <w:color w:val="333333"/>
                <w:sz w:val="24"/>
                <w:szCs w:val="24"/>
              </w:rPr>
              <w:t>①</w:t>
            </w:r>
            <w:r>
              <w:rPr>
                <w:rFonts w:hint="eastAsia" w:ascii="仿宋_GB2312" w:hAnsi="楷体" w:eastAsia="仿宋_GB2312" w:cs="楷体"/>
                <w:color w:val="333333"/>
                <w:sz w:val="24"/>
                <w:szCs w:val="24"/>
              </w:rPr>
              <w:fldChar w:fldCharType="end"/>
            </w:r>
            <w:r>
              <w:rPr>
                <w:rFonts w:hint="eastAsia" w:ascii="仿宋_GB2312" w:hAnsi="楷体" w:eastAsia="仿宋_GB2312" w:cs="楷体"/>
                <w:color w:val="333333"/>
                <w:sz w:val="24"/>
                <w:szCs w:val="24"/>
              </w:rPr>
              <w:t>教育部组织的竞赛按国家级计算；</w:t>
            </w:r>
            <w:r>
              <w:rPr>
                <w:rFonts w:hint="eastAsia" w:ascii="仿宋_GB2312" w:hAnsi="楷体" w:eastAsia="仿宋_GB2312" w:cs="楷体"/>
                <w:color w:val="333333"/>
                <w:sz w:val="24"/>
                <w:szCs w:val="24"/>
              </w:rPr>
              <w:fldChar w:fldCharType="begin"/>
            </w:r>
            <w:r>
              <w:rPr>
                <w:rFonts w:hint="eastAsia" w:ascii="仿宋_GB2312" w:hAnsi="楷体" w:eastAsia="仿宋_GB2312" w:cs="楷体"/>
                <w:color w:val="333333"/>
                <w:sz w:val="24"/>
                <w:szCs w:val="24"/>
              </w:rPr>
              <w:instrText xml:space="preserve"> = 2 \* GB3 </w:instrText>
            </w:r>
            <w:r>
              <w:rPr>
                <w:rFonts w:hint="eastAsia" w:ascii="仿宋_GB2312" w:hAnsi="楷体" w:eastAsia="仿宋_GB2312" w:cs="楷体"/>
                <w:color w:val="333333"/>
                <w:sz w:val="24"/>
                <w:szCs w:val="24"/>
              </w:rPr>
              <w:fldChar w:fldCharType="separate"/>
            </w:r>
            <w:r>
              <w:rPr>
                <w:rFonts w:hint="eastAsia" w:ascii="仿宋_GB2312" w:hAnsi="楷体" w:eastAsia="仿宋_GB2312" w:cs="楷体"/>
                <w:color w:val="333333"/>
                <w:sz w:val="24"/>
                <w:szCs w:val="24"/>
              </w:rPr>
              <w:t>②</w:t>
            </w:r>
            <w:r>
              <w:rPr>
                <w:rFonts w:hint="eastAsia" w:ascii="仿宋_GB2312" w:hAnsi="楷体" w:eastAsia="仿宋_GB2312" w:cs="楷体"/>
                <w:color w:val="333333"/>
                <w:sz w:val="24"/>
                <w:szCs w:val="24"/>
              </w:rPr>
              <w:fldChar w:fldCharType="end"/>
            </w:r>
            <w:r>
              <w:rPr>
                <w:rFonts w:hint="eastAsia" w:ascii="仿宋_GB2312" w:hAnsi="楷体" w:eastAsia="仿宋_GB2312" w:cs="楷体"/>
                <w:color w:val="333333"/>
                <w:sz w:val="24"/>
                <w:szCs w:val="24"/>
              </w:rPr>
              <w:t>教育部所属司、局组织的竞赛按省级计算；</w:t>
            </w:r>
            <w:r>
              <w:rPr>
                <w:rFonts w:hint="eastAsia" w:ascii="仿宋_GB2312" w:hAnsi="楷体" w:eastAsia="仿宋_GB2312" w:cs="楷体"/>
                <w:color w:val="333333"/>
                <w:sz w:val="24"/>
                <w:szCs w:val="24"/>
              </w:rPr>
              <w:fldChar w:fldCharType="begin"/>
            </w:r>
            <w:r>
              <w:rPr>
                <w:rFonts w:hint="eastAsia" w:ascii="仿宋_GB2312" w:hAnsi="楷体" w:eastAsia="仿宋_GB2312" w:cs="楷体"/>
                <w:color w:val="333333"/>
                <w:sz w:val="24"/>
                <w:szCs w:val="24"/>
              </w:rPr>
              <w:instrText xml:space="preserve"> = 3 \* GB3 </w:instrText>
            </w:r>
            <w:r>
              <w:rPr>
                <w:rFonts w:hint="eastAsia" w:ascii="仿宋_GB2312" w:hAnsi="楷体" w:eastAsia="仿宋_GB2312" w:cs="楷体"/>
                <w:color w:val="333333"/>
                <w:sz w:val="24"/>
                <w:szCs w:val="24"/>
              </w:rPr>
              <w:fldChar w:fldCharType="separate"/>
            </w:r>
            <w:r>
              <w:rPr>
                <w:rFonts w:hint="eastAsia" w:ascii="仿宋_GB2312" w:hAnsi="楷体" w:eastAsia="仿宋_GB2312" w:cs="楷体"/>
                <w:color w:val="333333"/>
                <w:sz w:val="24"/>
                <w:szCs w:val="24"/>
              </w:rPr>
              <w:t>③</w:t>
            </w:r>
            <w:r>
              <w:rPr>
                <w:rFonts w:hint="eastAsia" w:ascii="仿宋_GB2312" w:hAnsi="楷体" w:eastAsia="仿宋_GB2312" w:cs="楷体"/>
                <w:color w:val="333333"/>
                <w:sz w:val="24"/>
                <w:szCs w:val="24"/>
              </w:rPr>
              <w:fldChar w:fldCharType="end"/>
            </w:r>
            <w:r>
              <w:rPr>
                <w:rFonts w:hint="eastAsia" w:ascii="仿宋_GB2312" w:hAnsi="楷体" w:eastAsia="仿宋_GB2312" w:cs="楷体"/>
                <w:color w:val="333333"/>
                <w:sz w:val="24"/>
                <w:szCs w:val="24"/>
              </w:rPr>
              <w:t>教育部直属单位组织的竞赛按省级折半计算；</w:t>
            </w:r>
            <w:r>
              <w:rPr>
                <w:rFonts w:hint="eastAsia" w:ascii="仿宋_GB2312" w:hAnsi="楷体" w:eastAsia="仿宋_GB2312" w:cs="楷体"/>
                <w:color w:val="333333"/>
                <w:sz w:val="24"/>
                <w:szCs w:val="24"/>
              </w:rPr>
              <w:fldChar w:fldCharType="begin"/>
            </w:r>
            <w:r>
              <w:rPr>
                <w:rFonts w:hint="eastAsia" w:ascii="仿宋_GB2312" w:hAnsi="楷体" w:eastAsia="仿宋_GB2312" w:cs="楷体"/>
                <w:color w:val="333333"/>
                <w:sz w:val="24"/>
                <w:szCs w:val="24"/>
              </w:rPr>
              <w:instrText xml:space="preserve"> = 4 \* GB3 </w:instrText>
            </w:r>
            <w:r>
              <w:rPr>
                <w:rFonts w:hint="eastAsia" w:ascii="仿宋_GB2312" w:hAnsi="楷体" w:eastAsia="仿宋_GB2312" w:cs="楷体"/>
                <w:color w:val="333333"/>
                <w:sz w:val="24"/>
                <w:szCs w:val="24"/>
              </w:rPr>
              <w:fldChar w:fldCharType="separate"/>
            </w:r>
            <w:r>
              <w:rPr>
                <w:rFonts w:hint="eastAsia" w:ascii="仿宋_GB2312" w:hAnsi="楷体" w:eastAsia="仿宋_GB2312" w:cs="楷体"/>
                <w:color w:val="333333"/>
                <w:sz w:val="24"/>
                <w:szCs w:val="24"/>
              </w:rPr>
              <w:t>④</w:t>
            </w:r>
            <w:r>
              <w:rPr>
                <w:rFonts w:hint="eastAsia" w:ascii="仿宋_GB2312" w:hAnsi="楷体" w:eastAsia="仿宋_GB2312" w:cs="楷体"/>
                <w:color w:val="333333"/>
                <w:sz w:val="24"/>
                <w:szCs w:val="24"/>
              </w:rPr>
              <w:fldChar w:fldCharType="end"/>
            </w:r>
            <w:r>
              <w:rPr>
                <w:rFonts w:hint="eastAsia" w:ascii="仿宋_GB2312" w:hAnsi="楷体" w:eastAsia="仿宋_GB2312" w:cs="楷体"/>
                <w:color w:val="333333"/>
                <w:sz w:val="24"/>
                <w:szCs w:val="24"/>
              </w:rPr>
              <w:t>省教育厅组织的竞赛按省级计算；</w:t>
            </w:r>
            <w:r>
              <w:rPr>
                <w:rFonts w:hint="eastAsia" w:ascii="仿宋_GB2312" w:hAnsi="楷体" w:eastAsia="仿宋_GB2312" w:cs="楷体"/>
                <w:color w:val="333333"/>
                <w:sz w:val="24"/>
                <w:szCs w:val="24"/>
              </w:rPr>
              <w:fldChar w:fldCharType="begin"/>
            </w:r>
            <w:r>
              <w:rPr>
                <w:rFonts w:hint="eastAsia" w:ascii="仿宋_GB2312" w:hAnsi="楷体" w:eastAsia="仿宋_GB2312" w:cs="楷体"/>
                <w:color w:val="333333"/>
                <w:sz w:val="24"/>
                <w:szCs w:val="24"/>
              </w:rPr>
              <w:instrText xml:space="preserve"> = 5 \* GB3 </w:instrText>
            </w:r>
            <w:r>
              <w:rPr>
                <w:rFonts w:hint="eastAsia" w:ascii="仿宋_GB2312" w:hAnsi="楷体" w:eastAsia="仿宋_GB2312" w:cs="楷体"/>
                <w:color w:val="333333"/>
                <w:sz w:val="24"/>
                <w:szCs w:val="24"/>
              </w:rPr>
              <w:fldChar w:fldCharType="separate"/>
            </w:r>
            <w:r>
              <w:rPr>
                <w:rFonts w:hint="eastAsia" w:ascii="仿宋_GB2312" w:hAnsi="楷体" w:eastAsia="仿宋_GB2312" w:cs="楷体"/>
                <w:color w:val="333333"/>
                <w:sz w:val="24"/>
                <w:szCs w:val="24"/>
              </w:rPr>
              <w:t>⑤</w:t>
            </w:r>
            <w:r>
              <w:rPr>
                <w:rFonts w:hint="eastAsia" w:ascii="仿宋_GB2312" w:hAnsi="楷体" w:eastAsia="仿宋_GB2312" w:cs="楷体"/>
                <w:color w:val="333333"/>
                <w:sz w:val="24"/>
                <w:szCs w:val="24"/>
              </w:rPr>
              <w:fldChar w:fldCharType="end"/>
            </w:r>
            <w:r>
              <w:rPr>
                <w:rFonts w:hint="eastAsia" w:ascii="仿宋_GB2312" w:hAnsi="楷体" w:eastAsia="仿宋_GB2312" w:cs="楷体"/>
                <w:color w:val="333333"/>
                <w:sz w:val="24"/>
                <w:szCs w:val="24"/>
              </w:rPr>
              <w:t>省教育厅职能处室组织的竞赛按省级的折半计算。同一学年度不同级别的同一获奖项目从高计分一次。</w:t>
            </w:r>
          </w:p>
          <w:p>
            <w:pPr>
              <w:spacing w:line="340" w:lineRule="exact"/>
              <w:ind w:firstLine="480"/>
              <w:rPr>
                <w:rFonts w:hint="default" w:ascii="仿宋_GB2312" w:hAnsi="楷体" w:eastAsia="仿宋_GB2312" w:cs="楷体"/>
                <w:color w:val="333333"/>
                <w:sz w:val="24"/>
                <w:szCs w:val="24"/>
                <w:lang w:val="en-US" w:eastAsia="zh-CN"/>
              </w:rPr>
            </w:pPr>
            <w:r>
              <w:rPr>
                <w:rFonts w:hint="eastAsia" w:ascii="仿宋_GB2312" w:hAnsi="楷体" w:eastAsia="仿宋_GB2312" w:cs="楷体"/>
                <w:color w:val="333333"/>
                <w:sz w:val="24"/>
                <w:szCs w:val="24"/>
                <w:u w:val="none"/>
                <w:lang w:val="en-US" w:eastAsia="zh-CN"/>
              </w:rPr>
              <w:t>面向某专业或学科的权威教学竞赛，由各学院申报，学校组织专家根据比赛的等级认定1-4分。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242" w:type="dxa"/>
            <w:vMerge w:val="restart"/>
            <w:vAlign w:val="center"/>
          </w:tcPr>
          <w:p>
            <w:pPr>
              <w:tabs>
                <w:tab w:val="left" w:pos="3598"/>
              </w:tabs>
              <w:spacing w:line="400" w:lineRule="exact"/>
              <w:jc w:val="center"/>
              <w:rPr>
                <w:rFonts w:ascii="仿宋_GB2312" w:hAnsi="楷体" w:eastAsia="仿宋_GB2312"/>
                <w:color w:val="333333"/>
                <w:sz w:val="24"/>
                <w:szCs w:val="24"/>
              </w:rPr>
            </w:pPr>
            <w:r>
              <w:rPr>
                <w:rFonts w:hint="eastAsia" w:ascii="仿宋_GB2312" w:hAnsi="楷体" w:eastAsia="仿宋_GB2312" w:cs="楷体"/>
                <w:color w:val="333333"/>
                <w:sz w:val="24"/>
                <w:szCs w:val="24"/>
              </w:rPr>
              <w:t>指导学生课外活动（10%）</w:t>
            </w:r>
          </w:p>
        </w:tc>
        <w:tc>
          <w:tcPr>
            <w:tcW w:w="1276" w:type="dxa"/>
            <w:vAlign w:val="center"/>
          </w:tcPr>
          <w:p>
            <w:pPr>
              <w:tabs>
                <w:tab w:val="left" w:pos="3598"/>
              </w:tabs>
              <w:spacing w:line="400" w:lineRule="exact"/>
              <w:jc w:val="center"/>
              <w:rPr>
                <w:rFonts w:ascii="仿宋_GB2312" w:hAnsi="楷体" w:eastAsia="仿宋_GB2312"/>
                <w:color w:val="333333"/>
                <w:sz w:val="24"/>
                <w:szCs w:val="24"/>
                <w:u w:val="none"/>
              </w:rPr>
            </w:pPr>
            <w:r>
              <w:rPr>
                <w:rFonts w:hint="eastAsia" w:ascii="仿宋_GB2312" w:hAnsi="楷体" w:eastAsia="仿宋_GB2312" w:cs="楷体"/>
                <w:color w:val="333333"/>
                <w:sz w:val="24"/>
                <w:szCs w:val="24"/>
                <w:u w:val="none"/>
              </w:rPr>
              <w:t>指导学生</w:t>
            </w:r>
            <w:r>
              <w:rPr>
                <w:rFonts w:hint="eastAsia" w:ascii="仿宋_GB2312" w:hAnsi="楷体" w:eastAsia="仿宋_GB2312" w:cs="楷体"/>
                <w:color w:val="333333"/>
                <w:sz w:val="24"/>
                <w:szCs w:val="24"/>
                <w:u w:val="none"/>
                <w:lang w:val="en-US" w:eastAsia="zh-CN"/>
              </w:rPr>
              <w:t>学术科技和创新创业</w:t>
            </w:r>
            <w:r>
              <w:rPr>
                <w:rFonts w:hint="eastAsia" w:ascii="仿宋_GB2312" w:hAnsi="楷体" w:eastAsia="仿宋_GB2312" w:cs="楷体"/>
                <w:color w:val="333333"/>
                <w:sz w:val="24"/>
                <w:szCs w:val="24"/>
                <w:u w:val="none"/>
              </w:rPr>
              <w:t>竞赛获奖</w:t>
            </w:r>
          </w:p>
        </w:tc>
        <w:tc>
          <w:tcPr>
            <w:tcW w:w="8222" w:type="dxa"/>
          </w:tcPr>
          <w:p>
            <w:pPr>
              <w:spacing w:line="340" w:lineRule="exact"/>
              <w:ind w:firstLine="480" w:firstLineChars="0"/>
              <w:rPr>
                <w:rFonts w:ascii="仿宋_GB2312" w:hAnsi="楷体" w:eastAsia="仿宋_GB2312" w:cs="楷体"/>
                <w:color w:val="333333"/>
                <w:sz w:val="24"/>
                <w:szCs w:val="24"/>
                <w:u w:val="none"/>
              </w:rPr>
            </w:pPr>
            <w:r>
              <w:rPr>
                <w:rFonts w:hint="eastAsia" w:ascii="仿宋_GB2312" w:hAnsi="楷体" w:eastAsia="仿宋_GB2312" w:cs="楷体"/>
                <w:color w:val="333333"/>
                <w:sz w:val="24"/>
                <w:szCs w:val="24"/>
                <w:u w:val="none"/>
                <w:lang w:val="en-US" w:eastAsia="zh-CN"/>
              </w:rPr>
              <w:t>指导学生参加“中国国际大学生创新大赛”（原中国国际“互联网+”大学生创业创业大赛）和“挑战杯”系列竞赛获奖的：</w:t>
            </w:r>
            <w:r>
              <w:rPr>
                <w:rFonts w:hint="eastAsia" w:ascii="仿宋_GB2312" w:hAnsi="楷体" w:eastAsia="仿宋_GB2312" w:cs="楷体"/>
                <w:color w:val="333333"/>
                <w:sz w:val="24"/>
                <w:szCs w:val="24"/>
                <w:u w:val="none"/>
              </w:rPr>
              <w:t>国家级特等奖、金奖（一等奖）、银奖（二等奖）、铜奖（三等奖）指导教师排名第一者计分分别为</w:t>
            </w:r>
            <w:r>
              <w:rPr>
                <w:rFonts w:hint="eastAsia" w:ascii="仿宋_GB2312" w:hAnsi="楷体" w:eastAsia="仿宋_GB2312" w:cs="楷体"/>
                <w:color w:val="333333"/>
                <w:sz w:val="24"/>
                <w:szCs w:val="24"/>
                <w:u w:val="none"/>
                <w:lang w:val="en-US" w:eastAsia="zh-CN"/>
              </w:rPr>
              <w:t>10分、</w:t>
            </w:r>
            <w:r>
              <w:rPr>
                <w:rFonts w:hint="eastAsia" w:ascii="仿宋_GB2312" w:hAnsi="楷体" w:eastAsia="仿宋_GB2312" w:cs="楷体"/>
                <w:color w:val="333333"/>
                <w:sz w:val="24"/>
                <w:szCs w:val="24"/>
                <w:u w:val="none"/>
              </w:rPr>
              <w:t>9分、8分、7分；省级特等奖、金奖（一等奖）、银奖（二等奖）、铜奖（三等奖）指导教师排名第一者计分分别为6分、5分、4分</w:t>
            </w:r>
            <w:r>
              <w:rPr>
                <w:rFonts w:hint="eastAsia" w:ascii="仿宋_GB2312" w:hAnsi="楷体" w:eastAsia="仿宋_GB2312" w:cs="楷体"/>
                <w:color w:val="333333"/>
                <w:sz w:val="24"/>
                <w:szCs w:val="24"/>
                <w:u w:val="none"/>
                <w:lang w:val="en-US" w:eastAsia="zh-CN"/>
              </w:rPr>
              <w:t>和3分</w:t>
            </w:r>
            <w:r>
              <w:rPr>
                <w:rFonts w:hint="eastAsia" w:ascii="仿宋_GB2312" w:hAnsi="楷体" w:eastAsia="仿宋_GB2312" w:cs="楷体"/>
                <w:color w:val="333333"/>
                <w:sz w:val="24"/>
                <w:szCs w:val="24"/>
                <w:u w:val="none"/>
              </w:rPr>
              <w:t>。</w:t>
            </w:r>
          </w:p>
          <w:p>
            <w:pPr>
              <w:keepNext w:val="0"/>
              <w:keepLines w:val="0"/>
              <w:widowControl/>
              <w:suppressLineNumbers w:val="0"/>
              <w:spacing w:line="340" w:lineRule="exact"/>
              <w:ind w:firstLine="480" w:firstLineChars="0"/>
              <w:jc w:val="left"/>
              <w:rPr>
                <w:rFonts w:hint="eastAsia" w:ascii="仿宋_GB2312" w:hAnsi="楷体" w:eastAsia="仿宋_GB2312" w:cs="楷体"/>
                <w:color w:val="333333"/>
                <w:sz w:val="24"/>
                <w:szCs w:val="24"/>
                <w:u w:val="none"/>
              </w:rPr>
            </w:pPr>
            <w:r>
              <w:rPr>
                <w:rFonts w:hint="eastAsia" w:ascii="仿宋_GB2312" w:hAnsi="楷体" w:eastAsia="仿宋_GB2312" w:cs="楷体"/>
                <w:color w:val="333333"/>
                <w:sz w:val="24"/>
                <w:szCs w:val="24"/>
                <w:u w:val="none"/>
                <w:lang w:val="en-US" w:eastAsia="zh-CN"/>
              </w:rPr>
              <w:t>指导学生参加上述竞赛以外的由《</w:t>
            </w:r>
            <w:r>
              <w:rPr>
                <w:rFonts w:hint="eastAsia" w:ascii="仿宋_GB2312" w:hAnsi="楷体" w:eastAsia="仿宋_GB2312" w:cs="楷体"/>
                <w:b w:val="0"/>
                <w:bCs w:val="0"/>
                <w:color w:val="333333"/>
                <w:kern w:val="2"/>
                <w:sz w:val="24"/>
                <w:szCs w:val="24"/>
                <w:u w:val="none"/>
                <w:lang w:val="en-US" w:eastAsia="zh-CN" w:bidi="ar"/>
              </w:rPr>
              <w:t>全国普通高校大学生竞赛分析报告》“竞赛目录”</w:t>
            </w:r>
            <w:r>
              <w:rPr>
                <w:rFonts w:hint="eastAsia" w:ascii="仿宋_GB2312" w:hAnsi="楷体" w:eastAsia="仿宋_GB2312" w:cs="楷体"/>
                <w:color w:val="333333"/>
                <w:sz w:val="24"/>
                <w:szCs w:val="24"/>
                <w:u w:val="none"/>
                <w:lang w:val="en-US" w:eastAsia="zh-CN"/>
              </w:rPr>
              <w:t>（该目录由</w:t>
            </w:r>
            <w:r>
              <w:rPr>
                <w:rFonts w:hint="eastAsia" w:ascii="仿宋_GB2312" w:hAnsi="楷体" w:eastAsia="仿宋_GB2312" w:cs="楷体"/>
                <w:i w:val="0"/>
                <w:iCs w:val="0"/>
                <w:caps w:val="0"/>
                <w:color w:val="333333"/>
                <w:spacing w:val="0"/>
                <w:sz w:val="24"/>
                <w:szCs w:val="24"/>
                <w:u w:val="none"/>
                <w:shd w:val="clear"/>
              </w:rPr>
              <w:t>中国高等教育学会高校竞赛评估与管理体系研究专家工作组</w:t>
            </w:r>
            <w:r>
              <w:rPr>
                <w:rFonts w:hint="eastAsia" w:ascii="仿宋_GB2312" w:hAnsi="楷体" w:eastAsia="仿宋_GB2312" w:cs="楷体"/>
                <w:i w:val="0"/>
                <w:iCs w:val="0"/>
                <w:caps w:val="0"/>
                <w:color w:val="333333"/>
                <w:spacing w:val="0"/>
                <w:sz w:val="24"/>
                <w:szCs w:val="24"/>
                <w:u w:val="none"/>
                <w:shd w:val="clear"/>
                <w:lang w:eastAsia="zh-CN"/>
              </w:rPr>
              <w:t>发布</w:t>
            </w:r>
            <w:r>
              <w:rPr>
                <w:rFonts w:hint="eastAsia" w:ascii="仿宋_GB2312" w:hAnsi="楷体" w:eastAsia="仿宋_GB2312" w:cs="楷体"/>
                <w:b w:val="0"/>
                <w:bCs w:val="0"/>
                <w:color w:val="333333"/>
                <w:kern w:val="2"/>
                <w:sz w:val="24"/>
                <w:szCs w:val="24"/>
                <w:u w:val="none"/>
                <w:lang w:val="en-US" w:eastAsia="zh-CN" w:bidi="ar"/>
              </w:rPr>
              <w:t>）列入的竞赛</w:t>
            </w:r>
            <w:r>
              <w:rPr>
                <w:rFonts w:hint="eastAsia" w:ascii="仿宋_GB2312" w:hAnsi="楷体" w:eastAsia="仿宋_GB2312" w:cs="楷体"/>
                <w:color w:val="333333"/>
                <w:sz w:val="24"/>
                <w:szCs w:val="24"/>
                <w:u w:val="none"/>
                <w:lang w:val="en-US" w:eastAsia="zh-CN"/>
              </w:rPr>
              <w:t>获奖的：</w:t>
            </w:r>
            <w:r>
              <w:rPr>
                <w:rFonts w:hint="eastAsia" w:ascii="仿宋_GB2312" w:hAnsi="楷体" w:eastAsia="仿宋_GB2312" w:cs="楷体"/>
                <w:color w:val="333333"/>
                <w:sz w:val="24"/>
                <w:szCs w:val="24"/>
                <w:u w:val="none"/>
              </w:rPr>
              <w:t>国家级特等奖、金奖（一等奖）、银奖（二等奖）、铜奖（三等奖）指导教师排名第一者计分分别为</w:t>
            </w:r>
            <w:r>
              <w:rPr>
                <w:rFonts w:hint="eastAsia" w:ascii="仿宋_GB2312" w:hAnsi="楷体" w:eastAsia="仿宋_GB2312" w:cs="楷体"/>
                <w:color w:val="333333"/>
                <w:sz w:val="24"/>
                <w:szCs w:val="24"/>
                <w:u w:val="none"/>
                <w:lang w:val="en-US" w:eastAsia="zh-CN"/>
              </w:rPr>
              <w:t>8分、7</w:t>
            </w:r>
            <w:r>
              <w:rPr>
                <w:rFonts w:hint="eastAsia" w:ascii="仿宋_GB2312" w:hAnsi="楷体" w:eastAsia="仿宋_GB2312" w:cs="楷体"/>
                <w:color w:val="333333"/>
                <w:sz w:val="24"/>
                <w:szCs w:val="24"/>
                <w:u w:val="none"/>
              </w:rPr>
              <w:t>分、</w:t>
            </w:r>
            <w:r>
              <w:rPr>
                <w:rFonts w:hint="eastAsia" w:ascii="仿宋_GB2312" w:hAnsi="楷体" w:eastAsia="仿宋_GB2312" w:cs="楷体"/>
                <w:color w:val="333333"/>
                <w:sz w:val="24"/>
                <w:szCs w:val="24"/>
                <w:u w:val="none"/>
                <w:lang w:val="en-US" w:eastAsia="zh-CN"/>
              </w:rPr>
              <w:t>6</w:t>
            </w:r>
            <w:r>
              <w:rPr>
                <w:rFonts w:hint="eastAsia" w:ascii="仿宋_GB2312" w:hAnsi="楷体" w:eastAsia="仿宋_GB2312" w:cs="楷体"/>
                <w:color w:val="333333"/>
                <w:sz w:val="24"/>
                <w:szCs w:val="24"/>
                <w:u w:val="none"/>
              </w:rPr>
              <w:t>分、</w:t>
            </w:r>
            <w:r>
              <w:rPr>
                <w:rFonts w:hint="eastAsia" w:ascii="仿宋_GB2312" w:hAnsi="楷体" w:eastAsia="仿宋_GB2312" w:cs="楷体"/>
                <w:color w:val="333333"/>
                <w:sz w:val="24"/>
                <w:szCs w:val="24"/>
                <w:u w:val="none"/>
                <w:lang w:val="en-US" w:eastAsia="zh-CN"/>
              </w:rPr>
              <w:t>5</w:t>
            </w:r>
            <w:r>
              <w:rPr>
                <w:rFonts w:hint="eastAsia" w:ascii="仿宋_GB2312" w:hAnsi="楷体" w:eastAsia="仿宋_GB2312" w:cs="楷体"/>
                <w:color w:val="333333"/>
                <w:sz w:val="24"/>
                <w:szCs w:val="24"/>
                <w:u w:val="none"/>
              </w:rPr>
              <w:t>分；省级特等奖、金奖（一等奖）、银奖（二等奖）、铜奖（三等奖）指导教师排名第一者计分分别为</w:t>
            </w:r>
            <w:r>
              <w:rPr>
                <w:rFonts w:hint="eastAsia" w:ascii="仿宋_GB2312" w:hAnsi="楷体" w:eastAsia="仿宋_GB2312" w:cs="楷体"/>
                <w:color w:val="333333"/>
                <w:sz w:val="24"/>
                <w:szCs w:val="24"/>
                <w:u w:val="none"/>
                <w:lang w:val="en-US" w:eastAsia="zh-CN"/>
              </w:rPr>
              <w:t>4</w:t>
            </w:r>
            <w:r>
              <w:rPr>
                <w:rFonts w:hint="eastAsia" w:ascii="仿宋_GB2312" w:hAnsi="楷体" w:eastAsia="仿宋_GB2312" w:cs="楷体"/>
                <w:color w:val="333333"/>
                <w:sz w:val="24"/>
                <w:szCs w:val="24"/>
                <w:u w:val="none"/>
              </w:rPr>
              <w:t>分、</w:t>
            </w:r>
            <w:r>
              <w:rPr>
                <w:rFonts w:hint="eastAsia" w:ascii="仿宋_GB2312" w:hAnsi="楷体" w:eastAsia="仿宋_GB2312" w:cs="楷体"/>
                <w:color w:val="333333"/>
                <w:sz w:val="24"/>
                <w:szCs w:val="24"/>
                <w:u w:val="none"/>
                <w:lang w:val="en-US" w:eastAsia="zh-CN"/>
              </w:rPr>
              <w:t>3</w:t>
            </w:r>
            <w:r>
              <w:rPr>
                <w:rFonts w:hint="eastAsia" w:ascii="仿宋_GB2312" w:hAnsi="楷体" w:eastAsia="仿宋_GB2312" w:cs="楷体"/>
                <w:color w:val="333333"/>
                <w:sz w:val="24"/>
                <w:szCs w:val="24"/>
                <w:u w:val="none"/>
              </w:rPr>
              <w:t>分、</w:t>
            </w:r>
            <w:r>
              <w:rPr>
                <w:rFonts w:hint="eastAsia" w:ascii="仿宋_GB2312" w:hAnsi="楷体" w:eastAsia="仿宋_GB2312" w:cs="楷体"/>
                <w:color w:val="333333"/>
                <w:sz w:val="24"/>
                <w:szCs w:val="24"/>
                <w:u w:val="none"/>
                <w:lang w:val="en-US" w:eastAsia="zh-CN"/>
              </w:rPr>
              <w:t>2</w:t>
            </w:r>
            <w:r>
              <w:rPr>
                <w:rFonts w:hint="eastAsia" w:ascii="仿宋_GB2312" w:hAnsi="楷体" w:eastAsia="仿宋_GB2312" w:cs="楷体"/>
                <w:color w:val="333333"/>
                <w:sz w:val="24"/>
                <w:szCs w:val="24"/>
                <w:u w:val="none"/>
              </w:rPr>
              <w:t>分</w:t>
            </w:r>
            <w:r>
              <w:rPr>
                <w:rFonts w:hint="eastAsia" w:ascii="仿宋_GB2312" w:hAnsi="楷体" w:eastAsia="仿宋_GB2312" w:cs="楷体"/>
                <w:color w:val="333333"/>
                <w:sz w:val="24"/>
                <w:szCs w:val="24"/>
                <w:u w:val="none"/>
                <w:lang w:val="en-US" w:eastAsia="zh-CN"/>
              </w:rPr>
              <w:t>和1分</w:t>
            </w:r>
            <w:r>
              <w:rPr>
                <w:rFonts w:hint="eastAsia" w:ascii="仿宋_GB2312" w:hAnsi="楷体" w:eastAsia="仿宋_GB2312" w:cs="楷体"/>
                <w:color w:val="333333"/>
                <w:sz w:val="24"/>
                <w:szCs w:val="24"/>
                <w:u w:val="none"/>
              </w:rPr>
              <w:t>。</w:t>
            </w:r>
          </w:p>
          <w:p>
            <w:pPr>
              <w:spacing w:line="340" w:lineRule="exact"/>
              <w:ind w:firstLine="480" w:firstLineChars="0"/>
              <w:rPr>
                <w:rFonts w:ascii="仿宋_GB2312" w:hAnsi="楷体" w:eastAsia="仿宋_GB2312" w:cs="楷体"/>
                <w:color w:val="333333"/>
                <w:sz w:val="24"/>
                <w:szCs w:val="24"/>
                <w:u w:val="none"/>
              </w:rPr>
            </w:pPr>
            <w:r>
              <w:rPr>
                <w:rFonts w:hint="eastAsia" w:ascii="仿宋_GB2312" w:hAnsi="楷体" w:eastAsia="仿宋_GB2312" w:cs="楷体"/>
                <w:color w:val="333333"/>
                <w:sz w:val="24"/>
                <w:szCs w:val="24"/>
                <w:u w:val="none"/>
              </w:rPr>
              <w:t>排名第一之后的指导者（每个获奖项目不超过3人）得分从前往后依次按20％的比例递减。</w:t>
            </w:r>
          </w:p>
          <w:p>
            <w:pPr>
              <w:spacing w:line="340" w:lineRule="exact"/>
              <w:ind w:firstLine="480"/>
              <w:rPr>
                <w:rFonts w:hint="eastAsia" w:ascii="仿宋_GB2312" w:hAnsi="楷体" w:eastAsia="仿宋_GB2312" w:cs="楷体"/>
                <w:color w:val="333333"/>
                <w:sz w:val="24"/>
                <w:szCs w:val="24"/>
                <w:u w:val="none"/>
              </w:rPr>
            </w:pPr>
            <w:r>
              <w:rPr>
                <w:rFonts w:hint="eastAsia" w:ascii="仿宋_GB2312" w:hAnsi="楷体" w:eastAsia="仿宋_GB2312" w:cs="楷体"/>
                <w:color w:val="333333"/>
                <w:sz w:val="24"/>
                <w:szCs w:val="24"/>
                <w:u w:val="none"/>
              </w:rPr>
              <w:t>同一学年度不同级别的同一获奖项目从高计分一次。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242" w:type="dxa"/>
            <w:vMerge w:val="continue"/>
            <w:vAlign w:val="center"/>
          </w:tcPr>
          <w:p>
            <w:pPr>
              <w:tabs>
                <w:tab w:val="left" w:pos="3598"/>
              </w:tabs>
              <w:spacing w:line="400" w:lineRule="exact"/>
              <w:jc w:val="center"/>
              <w:rPr>
                <w:rFonts w:ascii="仿宋_GB2312" w:hAnsi="楷体" w:eastAsia="仿宋_GB2312" w:cs="楷体"/>
                <w:color w:val="333333"/>
                <w:sz w:val="24"/>
                <w:szCs w:val="24"/>
              </w:rPr>
            </w:pPr>
          </w:p>
        </w:tc>
        <w:tc>
          <w:tcPr>
            <w:tcW w:w="1276" w:type="dxa"/>
            <w:vAlign w:val="center"/>
          </w:tcPr>
          <w:p>
            <w:pPr>
              <w:tabs>
                <w:tab w:val="left" w:pos="3598"/>
              </w:tabs>
              <w:spacing w:line="400" w:lineRule="exact"/>
              <w:jc w:val="center"/>
              <w:rPr>
                <w:rFonts w:ascii="仿宋_GB2312" w:hAnsi="楷体" w:eastAsia="仿宋_GB2312" w:cs="楷体"/>
                <w:color w:val="333333"/>
                <w:sz w:val="24"/>
                <w:szCs w:val="24"/>
              </w:rPr>
            </w:pPr>
            <w:r>
              <w:rPr>
                <w:rFonts w:hint="eastAsia" w:ascii="仿宋_GB2312" w:hAnsi="楷体" w:eastAsia="仿宋_GB2312" w:cs="楷体"/>
                <w:color w:val="333333"/>
                <w:sz w:val="24"/>
                <w:szCs w:val="24"/>
              </w:rPr>
              <w:t>指导学生参加体育竞赛获奖</w:t>
            </w:r>
          </w:p>
        </w:tc>
        <w:tc>
          <w:tcPr>
            <w:tcW w:w="8222" w:type="dxa"/>
          </w:tcPr>
          <w:p>
            <w:pPr>
              <w:tabs>
                <w:tab w:val="left" w:pos="3598"/>
              </w:tabs>
              <w:spacing w:line="400" w:lineRule="exact"/>
              <w:ind w:firstLine="480" w:firstLineChars="200"/>
              <w:rPr>
                <w:rFonts w:ascii="仿宋_GB2312" w:hAnsi="楷体" w:eastAsia="仿宋_GB2312" w:cs="楷体"/>
                <w:sz w:val="24"/>
                <w:szCs w:val="24"/>
              </w:rPr>
            </w:pPr>
            <w:r>
              <w:rPr>
                <w:rFonts w:hint="eastAsia" w:ascii="仿宋_GB2312" w:hAnsi="楷体" w:eastAsia="仿宋_GB2312" w:cs="楷体"/>
                <w:sz w:val="24"/>
                <w:szCs w:val="24"/>
              </w:rPr>
              <w:t>全国学生运动会竞赛成绩前八名的第一指导教练分别按9分、8分、7分、6分、5分、4分、3分、2分计分；广东省大学生运动会竞赛成绩前四名的第一指导教练分别按5分、4分、3分、2分计分。</w:t>
            </w:r>
          </w:p>
          <w:p>
            <w:pPr>
              <w:tabs>
                <w:tab w:val="left" w:pos="3598"/>
              </w:tabs>
              <w:spacing w:line="400" w:lineRule="exact"/>
              <w:ind w:firstLine="480" w:firstLineChars="200"/>
              <w:rPr>
                <w:rFonts w:ascii="仿宋_GB2312" w:hAnsi="楷体" w:eastAsia="仿宋_GB2312" w:cs="楷体"/>
                <w:sz w:val="24"/>
                <w:szCs w:val="24"/>
              </w:rPr>
            </w:pPr>
            <w:r>
              <w:rPr>
                <w:rFonts w:hint="eastAsia" w:ascii="仿宋_GB2312" w:hAnsi="楷体" w:eastAsia="仿宋_GB2312" w:cs="楷体"/>
                <w:sz w:val="24"/>
                <w:szCs w:val="24"/>
              </w:rPr>
              <w:t>排名第一之后的指导教练（每个项目的指导教练不超过3人）得分从前往后依次按20％的比例递减。</w:t>
            </w:r>
          </w:p>
          <w:p>
            <w:pPr>
              <w:tabs>
                <w:tab w:val="left" w:pos="3598"/>
              </w:tabs>
              <w:spacing w:line="400" w:lineRule="exact"/>
              <w:ind w:firstLine="480" w:firstLineChars="200"/>
              <w:rPr>
                <w:rFonts w:ascii="仿宋_GB2312" w:hAnsi="楷体" w:eastAsia="仿宋_GB2312" w:cs="楷体"/>
                <w:sz w:val="24"/>
                <w:szCs w:val="24"/>
              </w:rPr>
            </w:pPr>
            <w:r>
              <w:rPr>
                <w:rFonts w:hint="eastAsia" w:ascii="仿宋_GB2312" w:hAnsi="楷体" w:eastAsia="仿宋_GB2312" w:cs="楷体"/>
                <w:sz w:val="24"/>
                <w:szCs w:val="24"/>
              </w:rPr>
              <w:t>指导教练以竞赛秩序册上署名指导老师姓名为准。</w:t>
            </w:r>
          </w:p>
          <w:p>
            <w:pPr>
              <w:tabs>
                <w:tab w:val="left" w:pos="3598"/>
              </w:tabs>
              <w:spacing w:line="400" w:lineRule="exact"/>
              <w:ind w:firstLine="480" w:firstLineChars="200"/>
              <w:rPr>
                <w:rFonts w:ascii="仿宋_GB2312" w:hAnsi="楷体" w:eastAsia="仿宋_GB2312" w:cs="楷体"/>
                <w:sz w:val="24"/>
                <w:szCs w:val="24"/>
              </w:rPr>
            </w:pPr>
            <w:r>
              <w:rPr>
                <w:rFonts w:hint="eastAsia" w:ascii="仿宋_GB2312" w:hAnsi="楷体" w:eastAsia="仿宋_GB2312" w:cs="楷体"/>
                <w:sz w:val="24"/>
                <w:szCs w:val="24"/>
              </w:rPr>
              <w:t>同一学年度不同级别的同一获奖项目从高计分一次。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1242" w:type="dxa"/>
            <w:vMerge w:val="continue"/>
            <w:vAlign w:val="center"/>
          </w:tcPr>
          <w:p>
            <w:pPr>
              <w:widowControl/>
              <w:tabs>
                <w:tab w:val="left" w:pos="3598"/>
              </w:tabs>
              <w:spacing w:line="400" w:lineRule="exact"/>
              <w:jc w:val="left"/>
              <w:rPr>
                <w:rFonts w:ascii="仿宋_GB2312" w:hAnsi="楷体" w:eastAsia="仿宋_GB2312"/>
                <w:color w:val="333333"/>
                <w:sz w:val="24"/>
                <w:szCs w:val="24"/>
              </w:rPr>
            </w:pPr>
          </w:p>
        </w:tc>
        <w:tc>
          <w:tcPr>
            <w:tcW w:w="1276" w:type="dxa"/>
            <w:vAlign w:val="center"/>
          </w:tcPr>
          <w:p>
            <w:pPr>
              <w:tabs>
                <w:tab w:val="left" w:pos="3598"/>
              </w:tabs>
              <w:spacing w:line="400" w:lineRule="exact"/>
              <w:jc w:val="center"/>
              <w:rPr>
                <w:rFonts w:ascii="仿宋_GB2312" w:hAnsi="楷体" w:eastAsia="仿宋_GB2312"/>
                <w:color w:val="333333"/>
                <w:sz w:val="24"/>
                <w:szCs w:val="24"/>
              </w:rPr>
            </w:pPr>
            <w:r>
              <w:rPr>
                <w:rFonts w:hint="eastAsia" w:ascii="仿宋_GB2312" w:hAnsi="楷体" w:eastAsia="仿宋_GB2312" w:cs="楷体"/>
                <w:color w:val="333333"/>
                <w:sz w:val="24"/>
                <w:szCs w:val="24"/>
              </w:rPr>
              <w:t>指导学生公开发表学术论文</w:t>
            </w:r>
          </w:p>
        </w:tc>
        <w:tc>
          <w:tcPr>
            <w:tcW w:w="8222" w:type="dxa"/>
          </w:tcPr>
          <w:p>
            <w:pPr>
              <w:tabs>
                <w:tab w:val="left" w:pos="3598"/>
              </w:tabs>
              <w:spacing w:line="400" w:lineRule="exact"/>
              <w:ind w:firstLine="480" w:firstLineChars="200"/>
              <w:rPr>
                <w:rFonts w:ascii="仿宋_GB2312" w:hAnsi="楷体" w:eastAsia="仿宋_GB2312" w:cs="楷体"/>
                <w:sz w:val="24"/>
                <w:szCs w:val="24"/>
              </w:rPr>
            </w:pPr>
            <w:r>
              <w:rPr>
                <w:rFonts w:hint="eastAsia" w:ascii="仿宋_GB2312" w:hAnsi="楷体" w:eastAsia="仿宋_GB2312" w:cs="楷体"/>
                <w:sz w:val="24"/>
                <w:szCs w:val="24"/>
              </w:rPr>
              <w:t>学生在学校Ｃ类及以上期刊、</w:t>
            </w:r>
            <w:r>
              <w:rPr>
                <w:rFonts w:hint="eastAsia" w:ascii="仿宋_GB2312" w:hAnsi="楷体" w:eastAsia="仿宋_GB2312" w:cs="楷体"/>
                <w:sz w:val="24"/>
                <w:szCs w:val="24"/>
                <w:u w:val="none"/>
                <w:lang w:val="en-US" w:eastAsia="zh-CN"/>
              </w:rPr>
              <w:t>学生获校级优秀毕业论文和</w:t>
            </w:r>
            <w:r>
              <w:rPr>
                <w:rFonts w:hint="eastAsia" w:ascii="仿宋_GB2312" w:hAnsi="楷体" w:eastAsia="仿宋_GB2312" w:cs="楷体"/>
                <w:sz w:val="24"/>
                <w:szCs w:val="24"/>
              </w:rPr>
              <w:t>其他公开出版期刊公开发表学术论文（字数不少于3000字）</w:t>
            </w:r>
            <w:r>
              <w:rPr>
                <w:rFonts w:hint="eastAsia" w:ascii="仿宋_GB2312" w:hAnsi="楷体" w:eastAsia="仿宋_GB2312" w:cs="Arial"/>
                <w:sz w:val="24"/>
              </w:rPr>
              <w:t>或作品</w:t>
            </w:r>
            <w:r>
              <w:rPr>
                <w:rFonts w:hint="eastAsia" w:ascii="仿宋_GB2312" w:hAnsi="楷体" w:eastAsia="仿宋_GB2312" w:cs="楷体"/>
                <w:sz w:val="24"/>
                <w:szCs w:val="24"/>
              </w:rPr>
              <w:t>，第一指导教师分别按3分/篇和2分/篇计分。</w:t>
            </w:r>
          </w:p>
          <w:p>
            <w:pPr>
              <w:tabs>
                <w:tab w:val="left" w:pos="3598"/>
              </w:tabs>
              <w:spacing w:line="400" w:lineRule="exact"/>
              <w:ind w:firstLine="480" w:firstLineChars="200"/>
              <w:rPr>
                <w:rFonts w:ascii="仿宋_GB2312" w:hAnsi="楷体" w:eastAsia="仿宋_GB2312" w:cs="Arial"/>
                <w:sz w:val="24"/>
                <w:szCs w:val="24"/>
              </w:rPr>
            </w:pPr>
            <w:r>
              <w:rPr>
                <w:rFonts w:hint="eastAsia" w:ascii="仿宋_GB2312" w:hAnsi="楷体" w:eastAsia="仿宋_GB2312" w:cs="楷体"/>
                <w:sz w:val="24"/>
                <w:szCs w:val="24"/>
              </w:rPr>
              <w:t>学生在学校Ｃ类及以上期刊的增刊、其他公开出版期刊的</w:t>
            </w:r>
            <w:r>
              <w:rPr>
                <w:rFonts w:hint="eastAsia" w:ascii="仿宋_GB2312" w:hAnsi="楷体" w:eastAsia="仿宋_GB2312" w:cs="Arial"/>
                <w:sz w:val="24"/>
                <w:szCs w:val="24"/>
              </w:rPr>
              <w:t>增刊</w:t>
            </w:r>
            <w:r>
              <w:rPr>
                <w:rFonts w:hint="eastAsia" w:ascii="仿宋_GB2312" w:hAnsi="楷体" w:eastAsia="仿宋_GB2312" w:cs="楷体"/>
                <w:sz w:val="24"/>
                <w:szCs w:val="24"/>
              </w:rPr>
              <w:t>公开发表学术论文（字数不少于3000字）</w:t>
            </w:r>
            <w:r>
              <w:rPr>
                <w:rFonts w:hint="eastAsia" w:ascii="仿宋_GB2312" w:hAnsi="楷体" w:eastAsia="仿宋_GB2312" w:cs="Arial"/>
                <w:sz w:val="24"/>
              </w:rPr>
              <w:t>或作品</w:t>
            </w:r>
            <w:r>
              <w:rPr>
                <w:rFonts w:hint="eastAsia" w:ascii="仿宋_GB2312" w:hAnsi="楷体" w:eastAsia="仿宋_GB2312" w:cs="楷体"/>
                <w:sz w:val="24"/>
                <w:szCs w:val="24"/>
              </w:rPr>
              <w:t>，第一指导教师分别按2分/篇、1分/篇计分。</w:t>
            </w:r>
          </w:p>
          <w:p>
            <w:pPr>
              <w:pStyle w:val="9"/>
              <w:spacing w:line="400" w:lineRule="exact"/>
              <w:ind w:firstLine="480"/>
              <w:jc w:val="left"/>
              <w:rPr>
                <w:rFonts w:ascii="仿宋_GB2312" w:hAnsi="楷体" w:eastAsia="仿宋_GB2312" w:cs="Arial"/>
                <w:sz w:val="24"/>
                <w:szCs w:val="24"/>
              </w:rPr>
            </w:pPr>
            <w:r>
              <w:rPr>
                <w:rFonts w:hint="eastAsia" w:ascii="仿宋_GB2312" w:hAnsi="楷体" w:eastAsia="仿宋_GB2312" w:cs="Arial"/>
                <w:sz w:val="24"/>
                <w:szCs w:val="24"/>
              </w:rPr>
              <w:t>学生在公开出版的论文集发表学术论文（字数不少于3000字）或作品，第一指导教师按1分/篇计分，同一教师指导的学生学术论文或作品在同一种论文集发表两篇及以上的，只按两篇计。</w:t>
            </w:r>
          </w:p>
          <w:p>
            <w:pPr>
              <w:pStyle w:val="9"/>
              <w:spacing w:line="400" w:lineRule="exact"/>
              <w:ind w:firstLine="480"/>
              <w:jc w:val="left"/>
              <w:rPr>
                <w:rFonts w:ascii="仿宋_GB2312" w:hAnsi="楷体" w:eastAsia="仿宋_GB2312"/>
                <w:sz w:val="32"/>
                <w:szCs w:val="32"/>
              </w:rPr>
            </w:pPr>
            <w:r>
              <w:rPr>
                <w:rFonts w:hint="eastAsia" w:ascii="仿宋_GB2312" w:hAnsi="楷体" w:eastAsia="仿宋_GB2312" w:cs="Arial"/>
                <w:sz w:val="24"/>
                <w:szCs w:val="24"/>
              </w:rPr>
              <w:t>学生发表的学术论文或作品，学生须为第一作者；但在C类及以上期刊发表学术论文或作品，指导教师可以作为第一作者。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1242" w:type="dxa"/>
            <w:vAlign w:val="center"/>
          </w:tcPr>
          <w:p>
            <w:pPr>
              <w:tabs>
                <w:tab w:val="left" w:pos="3598"/>
              </w:tabs>
              <w:spacing w:line="340" w:lineRule="exact"/>
              <w:jc w:val="center"/>
              <w:rPr>
                <w:rFonts w:ascii="仿宋_GB2312" w:hAnsi="楷体" w:eastAsia="仿宋_GB2312" w:cs="Times New Roman"/>
                <w:color w:val="333333"/>
                <w:kern w:val="2"/>
                <w:sz w:val="24"/>
                <w:szCs w:val="24"/>
                <w:lang w:val="en-US" w:eastAsia="zh-CN" w:bidi="ar-SA"/>
              </w:rPr>
            </w:pPr>
            <w:r>
              <w:rPr>
                <w:rFonts w:hint="eastAsia" w:ascii="仿宋_GB2312" w:hAnsi="楷体" w:eastAsia="仿宋_GB2312" w:cs="楷体"/>
                <w:color w:val="333333"/>
                <w:sz w:val="24"/>
                <w:szCs w:val="24"/>
                <w:u w:val="none"/>
                <w:lang w:val="en-US" w:eastAsia="zh-CN"/>
              </w:rPr>
              <w:t>教学异常</w:t>
            </w:r>
            <w:r>
              <w:rPr>
                <w:rFonts w:hint="eastAsia" w:ascii="仿宋_GB2312" w:hAnsi="楷体" w:eastAsia="仿宋_GB2312" w:cs="楷体"/>
                <w:color w:val="333333"/>
                <w:sz w:val="24"/>
                <w:szCs w:val="24"/>
                <w:u w:val="none"/>
              </w:rPr>
              <w:t>（</w:t>
            </w:r>
            <w:r>
              <w:rPr>
                <w:rFonts w:hint="eastAsia" w:ascii="仿宋_GB2312" w:hAnsi="楷体" w:eastAsia="仿宋_GB2312" w:cs="楷体"/>
                <w:color w:val="333333"/>
                <w:sz w:val="24"/>
                <w:szCs w:val="24"/>
                <w:u w:val="none"/>
                <w:lang w:val="en-US" w:eastAsia="zh-CN"/>
              </w:rPr>
              <w:t>5</w:t>
            </w:r>
            <w:r>
              <w:rPr>
                <w:rFonts w:hint="eastAsia" w:ascii="仿宋_GB2312" w:hAnsi="楷体" w:eastAsia="仿宋_GB2312" w:cs="楷体"/>
                <w:color w:val="333333"/>
                <w:sz w:val="24"/>
                <w:szCs w:val="24"/>
                <w:u w:val="none"/>
              </w:rPr>
              <w:t>%）</w:t>
            </w:r>
          </w:p>
        </w:tc>
        <w:tc>
          <w:tcPr>
            <w:tcW w:w="1276" w:type="dxa"/>
            <w:vAlign w:val="center"/>
          </w:tcPr>
          <w:p>
            <w:pPr>
              <w:tabs>
                <w:tab w:val="left" w:pos="3598"/>
              </w:tabs>
              <w:spacing w:line="340" w:lineRule="exact"/>
              <w:jc w:val="center"/>
              <w:rPr>
                <w:rFonts w:hint="eastAsia" w:ascii="仿宋_GB2312" w:hAnsi="楷体" w:eastAsia="仿宋_GB2312" w:cs="Times New Roman"/>
                <w:color w:val="333333"/>
                <w:kern w:val="2"/>
                <w:sz w:val="24"/>
                <w:szCs w:val="24"/>
                <w:lang w:val="en-US" w:eastAsia="zh-CN" w:bidi="ar-SA"/>
              </w:rPr>
            </w:pPr>
            <w:r>
              <w:rPr>
                <w:rFonts w:hint="eastAsia" w:ascii="仿宋_GB2312" w:hAnsi="楷体" w:eastAsia="仿宋_GB2312" w:cs="楷体"/>
                <w:color w:val="333333"/>
                <w:sz w:val="24"/>
                <w:szCs w:val="24"/>
                <w:u w:val="none"/>
                <w:lang w:val="en-US" w:eastAsia="zh-CN"/>
              </w:rPr>
              <w:t>教学异常</w:t>
            </w:r>
          </w:p>
        </w:tc>
        <w:tc>
          <w:tcPr>
            <w:tcW w:w="8222" w:type="dxa"/>
            <w:vAlign w:val="top"/>
          </w:tcPr>
          <w:p>
            <w:pPr>
              <w:spacing w:line="340" w:lineRule="exact"/>
              <w:rPr>
                <w:rFonts w:ascii="仿宋_GB2312" w:hAnsi="楷体" w:eastAsia="仿宋_GB2312" w:cs="楷体"/>
                <w:color w:val="333333"/>
                <w:sz w:val="24"/>
                <w:szCs w:val="24"/>
              </w:rPr>
            </w:pPr>
            <w:r>
              <w:rPr>
                <w:rFonts w:hint="eastAsia" w:ascii="仿宋_GB2312" w:hAnsi="楷体" w:eastAsia="仿宋_GB2312" w:cs="楷体"/>
                <w:color w:val="333333"/>
                <w:sz w:val="24"/>
                <w:szCs w:val="24"/>
              </w:rPr>
              <w:t xml:space="preserve">    该项满分为100分，分数扣完为止。</w:t>
            </w:r>
          </w:p>
          <w:p>
            <w:pPr>
              <w:spacing w:line="340" w:lineRule="exact"/>
              <w:rPr>
                <w:rFonts w:hint="eastAsia" w:ascii="仿宋_GB2312" w:hAnsi="楷体" w:eastAsia="仿宋_GB2312" w:cs="楷体"/>
                <w:color w:val="333333"/>
                <w:kern w:val="2"/>
                <w:sz w:val="24"/>
                <w:szCs w:val="24"/>
                <w:lang w:val="en-US" w:eastAsia="zh-CN" w:bidi="ar-SA"/>
              </w:rPr>
            </w:pPr>
            <w:r>
              <w:rPr>
                <w:rFonts w:hint="eastAsia" w:ascii="仿宋_GB2312" w:hAnsi="楷体" w:eastAsia="仿宋_GB2312" w:cs="楷体"/>
                <w:color w:val="333333"/>
                <w:sz w:val="24"/>
                <w:szCs w:val="24"/>
              </w:rPr>
              <w:t xml:space="preserve">    重大教学事故、严重教学事故、一般教学事故、经核实由于教师本人过失或错误导致的学生投诉或教学异常每起分别扣60分、30分、15分、10分、10分。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242" w:type="dxa"/>
            <w:vAlign w:val="center"/>
          </w:tcPr>
          <w:p>
            <w:pPr>
              <w:widowControl/>
              <w:tabs>
                <w:tab w:val="left" w:pos="3598"/>
              </w:tabs>
              <w:spacing w:line="400" w:lineRule="exact"/>
              <w:jc w:val="left"/>
              <w:rPr>
                <w:rFonts w:ascii="仿宋_GB2312" w:hAnsi="楷体" w:eastAsia="仿宋_GB2312"/>
                <w:color w:val="333333"/>
                <w:sz w:val="24"/>
                <w:szCs w:val="24"/>
              </w:rPr>
            </w:pPr>
            <w:r>
              <w:rPr>
                <w:rFonts w:hint="eastAsia" w:ascii="仿宋_GB2312" w:hAnsi="楷体" w:eastAsia="仿宋_GB2312" w:cs="楷体"/>
                <w:color w:val="333333"/>
                <w:sz w:val="24"/>
                <w:szCs w:val="24"/>
              </w:rPr>
              <w:t>先进事例加分项</w:t>
            </w:r>
          </w:p>
        </w:tc>
        <w:tc>
          <w:tcPr>
            <w:tcW w:w="1276" w:type="dxa"/>
            <w:vAlign w:val="center"/>
          </w:tcPr>
          <w:p>
            <w:pPr>
              <w:tabs>
                <w:tab w:val="left" w:pos="3598"/>
              </w:tabs>
              <w:spacing w:line="400" w:lineRule="exact"/>
              <w:jc w:val="center"/>
              <w:rPr>
                <w:rFonts w:ascii="仿宋_GB2312" w:hAnsi="楷体" w:eastAsia="仿宋_GB2312"/>
                <w:color w:val="333333"/>
                <w:sz w:val="24"/>
                <w:szCs w:val="24"/>
              </w:rPr>
            </w:pPr>
            <w:r>
              <w:rPr>
                <w:rFonts w:hint="eastAsia" w:ascii="仿宋_GB2312" w:hAnsi="楷体" w:eastAsia="仿宋_GB2312" w:cs="楷体"/>
                <w:color w:val="333333"/>
                <w:sz w:val="24"/>
                <w:szCs w:val="24"/>
              </w:rPr>
              <w:t>教书育人先进事例</w:t>
            </w:r>
          </w:p>
        </w:tc>
        <w:tc>
          <w:tcPr>
            <w:tcW w:w="8222" w:type="dxa"/>
          </w:tcPr>
          <w:p>
            <w:pPr>
              <w:tabs>
                <w:tab w:val="left" w:pos="3598"/>
              </w:tabs>
              <w:spacing w:line="400" w:lineRule="exact"/>
              <w:ind w:firstLine="480" w:firstLineChars="200"/>
              <w:rPr>
                <w:rFonts w:ascii="仿宋_GB2312" w:hAnsi="楷体" w:eastAsia="仿宋_GB2312"/>
                <w:sz w:val="24"/>
                <w:szCs w:val="24"/>
              </w:rPr>
            </w:pPr>
            <w:r>
              <w:rPr>
                <w:rFonts w:hint="eastAsia" w:ascii="仿宋_GB2312" w:hAnsi="楷体" w:eastAsia="仿宋_GB2312" w:cs="楷体"/>
                <w:sz w:val="24"/>
                <w:szCs w:val="24"/>
              </w:rPr>
              <w:t>评价学年度第一、第二、第三课堂上的教书育人先进事例每项加</w:t>
            </w:r>
            <w:r>
              <w:rPr>
                <w:rFonts w:hint="eastAsia" w:ascii="仿宋_GB2312" w:hAnsi="楷体" w:eastAsia="仿宋_GB2312" w:cs="楷体"/>
                <w:sz w:val="24"/>
                <w:szCs w:val="24"/>
                <w:lang w:val="en-US" w:eastAsia="zh-CN"/>
              </w:rPr>
              <w:t>0.5</w:t>
            </w:r>
            <w:r>
              <w:rPr>
                <w:rFonts w:hint="eastAsia" w:ascii="仿宋_GB2312" w:hAnsi="楷体" w:eastAsia="仿宋_GB2312" w:cs="楷体"/>
                <w:sz w:val="24"/>
                <w:szCs w:val="24"/>
              </w:rPr>
              <w:t>－3分。由教师本人描述事例及学生受益范围、受益程度、提供佐证材料。所在单位审核，学校评选专家小组在核实教书育人先进事例的基础上，根据学生受益范围和受益程度，对每个教书育人先进事例评分。</w:t>
            </w:r>
          </w:p>
        </w:tc>
      </w:tr>
    </w:tbl>
    <w:p>
      <w:pPr>
        <w:tabs>
          <w:tab w:val="left" w:pos="3598"/>
        </w:tabs>
        <w:spacing w:line="320" w:lineRule="exact"/>
        <w:rPr>
          <w:rFonts w:ascii="仿宋_GB2312" w:hAnsi="楷体" w:eastAsia="仿宋_GB2312"/>
          <w:color w:val="800000"/>
          <w:sz w:val="24"/>
          <w:szCs w:val="24"/>
          <w:u w:val="none"/>
        </w:rPr>
      </w:pPr>
      <w:r>
        <w:rPr>
          <w:rFonts w:hint="eastAsia" w:ascii="仿宋_GB2312" w:hAnsi="楷体" w:eastAsia="仿宋_GB2312" w:cs="楷体"/>
          <w:color w:val="333333"/>
          <w:sz w:val="24"/>
          <w:szCs w:val="24"/>
        </w:rPr>
        <w:t>说明：1.</w:t>
      </w:r>
      <w:r>
        <w:rPr>
          <w:rFonts w:hint="eastAsia" w:ascii="仿宋_GB2312" w:hAnsi="楷体" w:eastAsia="仿宋_GB2312" w:cs="楷体"/>
          <w:sz w:val="24"/>
          <w:szCs w:val="24"/>
          <w:u w:val="none"/>
        </w:rPr>
        <w:t>教研教改和指导学生课外活动评价计分公式均为：</w:t>
      </w:r>
    </w:p>
    <w:p>
      <w:pPr>
        <w:tabs>
          <w:tab w:val="left" w:pos="3598"/>
        </w:tabs>
        <w:spacing w:line="320" w:lineRule="exact"/>
        <w:ind w:firstLine="960" w:firstLineChars="400"/>
        <w:rPr>
          <w:rFonts w:hint="default" w:ascii="仿宋_GB2312" w:hAnsi="楷体" w:eastAsia="仿宋_GB2312" w:cs="楷体"/>
          <w:sz w:val="24"/>
          <w:szCs w:val="24"/>
          <w:u w:val="none"/>
          <w:lang w:val="en-US" w:eastAsia="zh-CN"/>
        </w:rPr>
      </w:pPr>
      <w:r>
        <w:rPr>
          <w:rFonts w:hint="eastAsia" w:ascii="仿宋_GB2312" w:hAnsi="楷体" w:eastAsia="仿宋_GB2312" w:cs="楷体"/>
          <w:sz w:val="24"/>
          <w:szCs w:val="24"/>
          <w:u w:val="none"/>
        </w:rPr>
        <w:t>评价得分＝教师个人原始得分÷</w:t>
      </w:r>
      <w:r>
        <w:rPr>
          <w:rFonts w:hint="eastAsia" w:ascii="仿宋_GB2312" w:hAnsi="楷体" w:eastAsia="仿宋_GB2312" w:cs="楷体"/>
          <w:sz w:val="24"/>
          <w:szCs w:val="24"/>
          <w:u w:val="none"/>
          <w:lang w:val="en-US" w:eastAsia="zh-CN"/>
        </w:rPr>
        <w:t>15</w:t>
      </w:r>
      <w:r>
        <w:rPr>
          <w:rFonts w:hint="eastAsia" w:ascii="仿宋_GB2312" w:hAnsi="楷体" w:eastAsia="仿宋_GB2312" w:cs="楷体"/>
          <w:sz w:val="24"/>
          <w:szCs w:val="24"/>
          <w:u w:val="none"/>
        </w:rPr>
        <w:t>Ｘ100。</w:t>
      </w:r>
      <w:r>
        <w:rPr>
          <w:rFonts w:hint="eastAsia" w:ascii="仿宋_GB2312" w:hAnsi="楷体" w:eastAsia="仿宋_GB2312" w:cs="楷体"/>
          <w:sz w:val="24"/>
          <w:szCs w:val="24"/>
          <w:u w:val="none"/>
          <w:lang w:val="en-US" w:eastAsia="zh-CN"/>
        </w:rPr>
        <w:t>满分为100分。</w:t>
      </w:r>
    </w:p>
    <w:p>
      <w:pPr>
        <w:tabs>
          <w:tab w:val="left" w:pos="3598"/>
        </w:tabs>
        <w:spacing w:line="320" w:lineRule="exact"/>
        <w:ind w:left="958" w:leftChars="342" w:right="-227" w:rightChars="-108" w:hanging="240" w:hangingChars="100"/>
        <w:rPr>
          <w:rFonts w:ascii="仿宋_GB2312" w:hAnsi="楷体" w:eastAsia="仿宋_GB2312"/>
          <w:sz w:val="24"/>
          <w:szCs w:val="24"/>
        </w:rPr>
      </w:pPr>
      <w:r>
        <w:rPr>
          <w:rFonts w:hint="eastAsia" w:ascii="仿宋_GB2312" w:hAnsi="楷体" w:eastAsia="仿宋_GB2312" w:cs="楷体"/>
          <w:color w:val="333333"/>
          <w:sz w:val="24"/>
          <w:szCs w:val="24"/>
        </w:rPr>
        <w:t>2</w:t>
      </w:r>
      <w:r>
        <w:rPr>
          <w:rFonts w:hint="eastAsia" w:ascii="仿宋_GB2312" w:hAnsi="楷体" w:eastAsia="仿宋_GB2312" w:cs="楷体"/>
          <w:color w:val="333333"/>
          <w:sz w:val="24"/>
          <w:szCs w:val="24"/>
          <w:lang w:eastAsia="zh-CN"/>
        </w:rPr>
        <w:t>.</w:t>
      </w:r>
      <w:r>
        <w:rPr>
          <w:rFonts w:hint="eastAsia" w:ascii="仿宋_GB2312" w:hAnsi="楷体" w:eastAsia="仿宋_GB2312" w:cs="楷体"/>
          <w:color w:val="333333"/>
          <w:sz w:val="24"/>
          <w:szCs w:val="24"/>
        </w:rPr>
        <w:t>教学成果奖、国家级规划教材和教研论文第一署名“广东财经大学”方有效。</w:t>
      </w:r>
    </w:p>
    <w:p>
      <w:pPr>
        <w:spacing w:line="320" w:lineRule="exact"/>
        <w:rPr>
          <w:rFonts w:ascii="仿宋_GB2312" w:hAnsi="楷体" w:eastAsia="仿宋_GB2312"/>
          <w:color w:val="333333"/>
          <w:sz w:val="24"/>
          <w:szCs w:val="24"/>
        </w:rPr>
      </w:pPr>
      <w:r>
        <w:rPr>
          <w:rFonts w:hint="eastAsia" w:ascii="仿宋_GB2312" w:hAnsi="楷体" w:eastAsia="仿宋_GB2312" w:cs="楷体"/>
          <w:color w:val="333333"/>
          <w:sz w:val="24"/>
          <w:szCs w:val="24"/>
        </w:rPr>
        <w:t xml:space="preserve">      3</w:t>
      </w:r>
      <w:r>
        <w:rPr>
          <w:rFonts w:hint="eastAsia" w:ascii="仿宋_GB2312" w:hAnsi="楷体" w:eastAsia="仿宋_GB2312" w:cs="楷体"/>
          <w:color w:val="333333"/>
          <w:sz w:val="24"/>
          <w:szCs w:val="24"/>
          <w:lang w:val="en-US" w:eastAsia="zh-CN"/>
        </w:rPr>
        <w:t>.</w:t>
      </w:r>
      <w:r>
        <w:rPr>
          <w:rFonts w:hint="eastAsia" w:ascii="仿宋_GB2312" w:hAnsi="楷体" w:eastAsia="仿宋_GB2312" w:cs="楷体"/>
          <w:color w:val="333333"/>
          <w:sz w:val="24"/>
          <w:szCs w:val="24"/>
        </w:rPr>
        <w:t>以获奖通知或获奖证书上的时间为准。</w:t>
      </w:r>
    </w:p>
    <w:p>
      <w:pPr>
        <w:spacing w:line="320" w:lineRule="exact"/>
        <w:ind w:firstLine="600" w:firstLineChars="250"/>
      </w:pPr>
      <w:r>
        <w:rPr>
          <w:rFonts w:hint="eastAsia" w:ascii="仿宋_GB2312" w:hAnsi="楷体" w:eastAsia="仿宋_GB2312" w:cs="楷体"/>
          <w:color w:val="333333"/>
          <w:sz w:val="24"/>
          <w:szCs w:val="24"/>
        </w:rPr>
        <w:t xml:space="preserve"> 4</w:t>
      </w:r>
      <w:r>
        <w:rPr>
          <w:rFonts w:hint="eastAsia" w:ascii="仿宋_GB2312" w:hAnsi="楷体" w:eastAsia="仿宋_GB2312" w:cs="楷体"/>
          <w:color w:val="333333"/>
          <w:sz w:val="24"/>
          <w:szCs w:val="24"/>
          <w:lang w:val="en-US" w:eastAsia="zh-CN"/>
        </w:rPr>
        <w:t>.</w:t>
      </w:r>
      <w:r>
        <w:rPr>
          <w:rFonts w:hint="eastAsia" w:ascii="仿宋_GB2312" w:hAnsi="楷体" w:eastAsia="仿宋_GB2312" w:cs="楷体"/>
          <w:color w:val="333333"/>
          <w:sz w:val="24"/>
          <w:szCs w:val="24"/>
        </w:rPr>
        <w:t>学年时间起止为上年</w:t>
      </w:r>
      <w:r>
        <w:rPr>
          <w:rFonts w:hint="eastAsia" w:ascii="仿宋_GB2312" w:hAnsi="楷体" w:eastAsia="仿宋_GB2312" w:cs="楷体"/>
          <w:sz w:val="24"/>
          <w:szCs w:val="24"/>
        </w:rPr>
        <w:t>7月1日至本年6月30日。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6DA2B1D-8E6F-4465-B89A-91CB74249EE1}"/>
  </w:font>
  <w:font w:name="黑体">
    <w:panose1 w:val="02010609060101010101"/>
    <w:charset w:val="86"/>
    <w:family w:val="auto"/>
    <w:pitch w:val="default"/>
    <w:sig w:usb0="800002BF" w:usb1="38CF7CFA" w:usb2="00000016" w:usb3="00000000" w:csb0="00040001" w:csb1="00000000"/>
    <w:embedRegular r:id="rId2" w:fontKey="{984F4DE7-8575-437F-A377-E94C9B639FA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3" w:fontKey="{F5AC7317-5785-44CF-9E0F-91E0BB399FCC}"/>
  </w:font>
  <w:font w:name="仿宋_GB2312">
    <w:panose1 w:val="02010609030101010101"/>
    <w:charset w:val="86"/>
    <w:family w:val="modern"/>
    <w:pitch w:val="default"/>
    <w:sig w:usb0="00000001" w:usb1="080E0000" w:usb2="00000000" w:usb3="00000000" w:csb0="00040000" w:csb1="00000000"/>
    <w:embedRegular r:id="rId4" w:fontKey="{5C81ABEB-C058-4601-8577-0D3D09133B50}"/>
  </w:font>
  <w:font w:name="楷体">
    <w:panose1 w:val="02010609060101010101"/>
    <w:charset w:val="86"/>
    <w:family w:val="modern"/>
    <w:pitch w:val="default"/>
    <w:sig w:usb0="800002BF" w:usb1="38CF7CFA" w:usb2="00000016" w:usb3="00000000" w:csb0="00040001" w:csb1="00000000"/>
    <w:embedRegular r:id="rId5" w:fontKey="{A33280CB-62B1-4B4F-B019-A8AAB08B66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jc w:val="right"/>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s3aoX0gEAAKMDAAAOAAAAAAAAAAEAIAAAAB4BAABk&#10;cnMvZTJvRG9jLnhtbFBLBQYAAAAABgAGAFkBAABiBQAAAAA=&#10;">
              <v:fill on="f" focussize="0,0"/>
              <v:stroke on="f"/>
              <v:imagedata o:title=""/>
              <o:lock v:ext="edit" aspectratio="f"/>
              <v:textbox inset="0mm,0mm,0mm,0mm" style="mso-fit-shape-to-text:t;">
                <w:txbxContent>
                  <w:p>
                    <w:pPr>
                      <w:pStyle w:val="5"/>
                      <w:jc w:val="right"/>
                    </w:pP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ZjZhZjU1MzdhM2I2Yjk2MWFhMmE0M2Y1ZGI1ODQifQ=="/>
    <w:docVar w:name="KSO_WPS_MARK_KEY" w:val="88085c6e-e2b2-468a-ae5e-2947f5272807"/>
  </w:docVars>
  <w:rsids>
    <w:rsidRoot w:val="3DE96801"/>
    <w:rsid w:val="01813D29"/>
    <w:rsid w:val="02A76B04"/>
    <w:rsid w:val="03A44B04"/>
    <w:rsid w:val="07A5164B"/>
    <w:rsid w:val="0B9B704C"/>
    <w:rsid w:val="10681952"/>
    <w:rsid w:val="11121458"/>
    <w:rsid w:val="113F107B"/>
    <w:rsid w:val="12375296"/>
    <w:rsid w:val="171C390C"/>
    <w:rsid w:val="2034341C"/>
    <w:rsid w:val="2EBD1DC7"/>
    <w:rsid w:val="2F00703C"/>
    <w:rsid w:val="2F0B5E19"/>
    <w:rsid w:val="32C726FD"/>
    <w:rsid w:val="34136465"/>
    <w:rsid w:val="3D0E756D"/>
    <w:rsid w:val="3DA40896"/>
    <w:rsid w:val="3DE96801"/>
    <w:rsid w:val="3F883FFD"/>
    <w:rsid w:val="3FF50253"/>
    <w:rsid w:val="40A823AD"/>
    <w:rsid w:val="41077D76"/>
    <w:rsid w:val="411B39EE"/>
    <w:rsid w:val="454A0102"/>
    <w:rsid w:val="45A56203"/>
    <w:rsid w:val="49174CC9"/>
    <w:rsid w:val="4A91686F"/>
    <w:rsid w:val="533314D8"/>
    <w:rsid w:val="578D0553"/>
    <w:rsid w:val="59710EDA"/>
    <w:rsid w:val="59A57FAD"/>
    <w:rsid w:val="614800A8"/>
    <w:rsid w:val="62A669E8"/>
    <w:rsid w:val="62A72DB9"/>
    <w:rsid w:val="65EB3CE0"/>
    <w:rsid w:val="67691E5D"/>
    <w:rsid w:val="67706D17"/>
    <w:rsid w:val="68C10328"/>
    <w:rsid w:val="69E758B1"/>
    <w:rsid w:val="6A9E29F5"/>
    <w:rsid w:val="6E322CF5"/>
    <w:rsid w:val="705E2A54"/>
    <w:rsid w:val="734A6FBA"/>
    <w:rsid w:val="738B2701"/>
    <w:rsid w:val="7ACD7539"/>
    <w:rsid w:val="7B690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Plain Text"/>
    <w:basedOn w:val="1"/>
    <w:qFormat/>
    <w:uiPriority w:val="0"/>
    <w:rPr>
      <w:rFonts w:ascii="宋体" w:hAnsi="Courier New"/>
      <w:kern w:val="0"/>
      <w:sz w:val="20"/>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2193</Words>
  <Characters>2249</Characters>
  <Lines>0</Lines>
  <Paragraphs>0</Paragraphs>
  <TotalTime>43</TotalTime>
  <ScaleCrop>false</ScaleCrop>
  <LinksUpToDate>false</LinksUpToDate>
  <CharactersWithSpaces>2289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2023-10-18T00:36:00Z</dcterms:created>
  <dc:creator>林国献(19961630)</dc:creator>
  <cp:lastModifiedBy>羽落凡尘</cp:lastModifiedBy>
  <cp:lastPrinted>2024-03-22T06:13:00Z</cp:lastPrinted>
  <dcterms:modified xsi:type="dcterms:W3CDTF">2024-03-27T06:33:13Z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FE0509F0604641E0A7E9170056120A7B_13</vt:lpwstr>
  </property>
</Properties>
</file>