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r>
        <w:rPr>
          <w:rFonts w:hint="eastAsia" w:ascii="黑体" w:hAnsi="黑体" w:eastAsia="黑体" w:cs="黑体"/>
          <w:sz w:val="32"/>
          <w:szCs w:val="32"/>
        </w:rPr>
        <w:t>附件2</w:t>
      </w:r>
    </w:p>
    <w:p>
      <w:pPr>
        <w:jc w:val="center"/>
        <w:rPr>
          <w:rFonts w:ascii="方正小标宋简体" w:hAnsi="仿宋_GB2312" w:eastAsia="方正小标宋简体" w:cs="仿宋_GB2312"/>
          <w:b/>
          <w:sz w:val="44"/>
          <w:szCs w:val="44"/>
        </w:rPr>
      </w:pPr>
      <w:r>
        <w:rPr>
          <w:rFonts w:hint="eastAsia" w:ascii="方正小标宋简体" w:hAnsi="仿宋_GB2312" w:eastAsia="方正小标宋简体" w:cs="仿宋_GB2312"/>
          <w:b/>
          <w:sz w:val="44"/>
          <w:szCs w:val="44"/>
        </w:rPr>
        <w:t>审核评估核心数据指标任务分解表</w:t>
      </w:r>
    </w:p>
    <w:tbl>
      <w:tblPr>
        <w:tblStyle w:val="6"/>
        <w:tblW w:w="47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3949"/>
        <w:gridCol w:w="2254"/>
        <w:gridCol w:w="1222"/>
        <w:gridCol w:w="2638"/>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359" w:type="pct"/>
            <w:vAlign w:val="center"/>
          </w:tcPr>
          <w:p>
            <w:pPr>
              <w:jc w:val="center"/>
              <w:rPr>
                <w:rFonts w:ascii="黑体" w:hAnsi="黑体" w:eastAsia="黑体" w:cs="仿宋_GB2312"/>
                <w:sz w:val="24"/>
              </w:rPr>
            </w:pPr>
            <w:r>
              <w:rPr>
                <w:rFonts w:hint="eastAsia" w:ascii="黑体" w:hAnsi="黑体" w:eastAsia="黑体" w:cs="仿宋_GB2312"/>
                <w:sz w:val="24"/>
                <w:szCs w:val="24"/>
              </w:rPr>
              <w:t>序号</w:t>
            </w:r>
          </w:p>
        </w:tc>
        <w:tc>
          <w:tcPr>
            <w:tcW w:w="1454" w:type="pct"/>
            <w:vAlign w:val="center"/>
          </w:tcPr>
          <w:p>
            <w:pPr>
              <w:jc w:val="center"/>
              <w:rPr>
                <w:rFonts w:ascii="黑体" w:hAnsi="黑体" w:eastAsia="黑体" w:cs="仿宋_GB2312"/>
                <w:sz w:val="24"/>
              </w:rPr>
            </w:pPr>
            <w:r>
              <w:rPr>
                <w:rFonts w:hint="eastAsia" w:ascii="黑体" w:hAnsi="黑体" w:eastAsia="黑体" w:cs="仿宋_GB2312"/>
                <w:sz w:val="24"/>
                <w:szCs w:val="24"/>
              </w:rPr>
              <w:t>指标项</w:t>
            </w:r>
          </w:p>
        </w:tc>
        <w:tc>
          <w:tcPr>
            <w:tcW w:w="830" w:type="pct"/>
            <w:vAlign w:val="center"/>
          </w:tcPr>
          <w:p>
            <w:pPr>
              <w:jc w:val="center"/>
              <w:rPr>
                <w:rFonts w:ascii="黑体" w:hAnsi="黑体" w:eastAsia="黑体" w:cs="仿宋_GB2312"/>
                <w:sz w:val="24"/>
              </w:rPr>
            </w:pPr>
            <w:r>
              <w:rPr>
                <w:rFonts w:hint="eastAsia" w:ascii="黑体" w:hAnsi="黑体" w:eastAsia="黑体" w:cs="仿宋_GB2312"/>
                <w:sz w:val="24"/>
                <w:szCs w:val="24"/>
              </w:rPr>
              <w:t>指标要求</w:t>
            </w:r>
          </w:p>
        </w:tc>
        <w:tc>
          <w:tcPr>
            <w:tcW w:w="450" w:type="pct"/>
            <w:vAlign w:val="center"/>
          </w:tcPr>
          <w:p>
            <w:pPr>
              <w:jc w:val="center"/>
              <w:rPr>
                <w:rFonts w:ascii="黑体" w:hAnsi="黑体" w:eastAsia="黑体" w:cs="仿宋_GB2312"/>
                <w:sz w:val="24"/>
              </w:rPr>
            </w:pPr>
            <w:r>
              <w:rPr>
                <w:rFonts w:hint="eastAsia" w:ascii="黑体" w:hAnsi="黑体" w:eastAsia="黑体" w:cs="仿宋_GB2312"/>
                <w:sz w:val="24"/>
                <w:szCs w:val="24"/>
              </w:rPr>
              <w:t>性质</w:t>
            </w:r>
          </w:p>
        </w:tc>
        <w:tc>
          <w:tcPr>
            <w:tcW w:w="971" w:type="pct"/>
            <w:vAlign w:val="center"/>
          </w:tcPr>
          <w:p>
            <w:pPr>
              <w:jc w:val="center"/>
              <w:rPr>
                <w:rFonts w:ascii="黑体" w:hAnsi="黑体" w:eastAsia="黑体" w:cs="仿宋_GB2312"/>
                <w:sz w:val="24"/>
              </w:rPr>
            </w:pPr>
            <w:r>
              <w:rPr>
                <w:rFonts w:hint="eastAsia" w:ascii="黑体" w:hAnsi="黑体" w:eastAsia="黑体" w:cs="仿宋_GB2312"/>
                <w:sz w:val="24"/>
                <w:szCs w:val="24"/>
              </w:rPr>
              <w:t>牵头单位</w:t>
            </w:r>
          </w:p>
        </w:tc>
        <w:tc>
          <w:tcPr>
            <w:tcW w:w="934" w:type="pct"/>
            <w:vAlign w:val="center"/>
          </w:tcPr>
          <w:p>
            <w:pPr>
              <w:jc w:val="center"/>
              <w:rPr>
                <w:rFonts w:ascii="黑体" w:hAnsi="黑体" w:eastAsia="黑体" w:cs="仿宋_GB2312"/>
                <w:sz w:val="24"/>
              </w:rPr>
            </w:pPr>
            <w:r>
              <w:rPr>
                <w:rFonts w:hint="eastAsia" w:ascii="黑体" w:hAnsi="黑体" w:eastAsia="黑体" w:cs="仿宋_GB2312"/>
                <w:sz w:val="24"/>
                <w:szCs w:val="24"/>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1-1</w:t>
            </w:r>
          </w:p>
        </w:tc>
        <w:tc>
          <w:tcPr>
            <w:tcW w:w="1454"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思政课专任教师与折合在校生比</w:t>
            </w:r>
          </w:p>
        </w:tc>
        <w:tc>
          <w:tcPr>
            <w:tcW w:w="83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color w:val="000000"/>
                <w:sz w:val="24"/>
                <w:szCs w:val="24"/>
              </w:rPr>
              <w:t>≥1:350</w:t>
            </w:r>
          </w:p>
        </w:tc>
        <w:tc>
          <w:tcPr>
            <w:tcW w:w="45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必选</w:t>
            </w:r>
          </w:p>
        </w:tc>
        <w:tc>
          <w:tcPr>
            <w:tcW w:w="971"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人力资源处</w:t>
            </w:r>
          </w:p>
        </w:tc>
        <w:tc>
          <w:tcPr>
            <w:tcW w:w="934" w:type="pct"/>
            <w:vAlign w:val="center"/>
          </w:tcPr>
          <w:p>
            <w:pPr>
              <w:jc w:val="center"/>
              <w:rPr>
                <w:rFonts w:hint="default" w:ascii="仿宋_GB2312" w:hAnsi="仿宋_GB2312" w:eastAsia="仿宋_GB2312" w:cs="仿宋_GB2312"/>
                <w:b/>
                <w:bCs/>
                <w:color w:val="FF2B2B"/>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1-2</w:t>
            </w:r>
          </w:p>
        </w:tc>
        <w:tc>
          <w:tcPr>
            <w:tcW w:w="1454"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思政课专任教师与全日制在校生比例</w:t>
            </w:r>
          </w:p>
        </w:tc>
        <w:tc>
          <w:tcPr>
            <w:tcW w:w="83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color w:val="000000"/>
                <w:sz w:val="24"/>
                <w:szCs w:val="24"/>
              </w:rPr>
              <w:t>≥1:350</w:t>
            </w:r>
          </w:p>
        </w:tc>
        <w:tc>
          <w:tcPr>
            <w:tcW w:w="45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必选</w:t>
            </w:r>
          </w:p>
        </w:tc>
        <w:tc>
          <w:tcPr>
            <w:tcW w:w="971"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人力资源处</w:t>
            </w:r>
          </w:p>
        </w:tc>
        <w:tc>
          <w:tcPr>
            <w:tcW w:w="934" w:type="pct"/>
            <w:vAlign w:val="center"/>
          </w:tcPr>
          <w:p>
            <w:pPr>
              <w:jc w:val="center"/>
              <w:rPr>
                <w:rFonts w:ascii="仿宋_GB2312" w:hAnsi="仿宋_GB2312" w:eastAsia="仿宋_GB2312" w:cs="仿宋_GB2312"/>
                <w:b/>
                <w:bCs/>
                <w:color w:val="FF2B2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2</w:t>
            </w:r>
          </w:p>
        </w:tc>
        <w:tc>
          <w:tcPr>
            <w:tcW w:w="1454"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专职党务工作人员和思想政治工作人员总数与全校师生人数比例</w:t>
            </w:r>
          </w:p>
        </w:tc>
        <w:tc>
          <w:tcPr>
            <w:tcW w:w="83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color w:val="000000"/>
                <w:sz w:val="24"/>
                <w:szCs w:val="24"/>
              </w:rPr>
              <w:t>≥1:100</w:t>
            </w:r>
          </w:p>
        </w:tc>
        <w:tc>
          <w:tcPr>
            <w:tcW w:w="45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必选</w:t>
            </w:r>
          </w:p>
        </w:tc>
        <w:tc>
          <w:tcPr>
            <w:tcW w:w="971"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人力资源处</w:t>
            </w:r>
          </w:p>
        </w:tc>
        <w:tc>
          <w:tcPr>
            <w:tcW w:w="934" w:type="pct"/>
            <w:vAlign w:val="center"/>
          </w:tcPr>
          <w:p>
            <w:pPr>
              <w:jc w:val="center"/>
              <w:rPr>
                <w:rFonts w:ascii="仿宋_GB2312" w:hAnsi="仿宋_GB2312" w:eastAsia="仿宋_GB2312" w:cs="仿宋_GB2312"/>
                <w:b/>
                <w:bCs/>
                <w:color w:val="FF2B2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3</w:t>
            </w:r>
          </w:p>
        </w:tc>
        <w:tc>
          <w:tcPr>
            <w:tcW w:w="1454"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生均思政工作和党务工作队伍建设专项经费</w:t>
            </w:r>
          </w:p>
        </w:tc>
        <w:tc>
          <w:tcPr>
            <w:tcW w:w="83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color w:val="000000"/>
                <w:sz w:val="24"/>
                <w:szCs w:val="24"/>
              </w:rPr>
              <w:t>≥20元</w:t>
            </w:r>
          </w:p>
        </w:tc>
        <w:tc>
          <w:tcPr>
            <w:tcW w:w="45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必选</w:t>
            </w:r>
          </w:p>
        </w:tc>
        <w:tc>
          <w:tcPr>
            <w:tcW w:w="971"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财务与国有资产管理处</w:t>
            </w:r>
          </w:p>
        </w:tc>
        <w:tc>
          <w:tcPr>
            <w:tcW w:w="934" w:type="pct"/>
            <w:vAlign w:val="center"/>
          </w:tcPr>
          <w:p>
            <w:pPr>
              <w:jc w:val="center"/>
              <w:rPr>
                <w:rFonts w:ascii="仿宋_GB2312" w:hAnsi="仿宋_GB2312" w:eastAsia="仿宋_GB2312" w:cs="仿宋_GB2312"/>
                <w:b/>
                <w:bCs/>
                <w:color w:val="FF2B2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4</w:t>
            </w:r>
          </w:p>
        </w:tc>
        <w:tc>
          <w:tcPr>
            <w:tcW w:w="1454"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生均网络思政工作专项经费</w:t>
            </w:r>
          </w:p>
        </w:tc>
        <w:tc>
          <w:tcPr>
            <w:tcW w:w="83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color w:val="000000"/>
                <w:sz w:val="24"/>
                <w:szCs w:val="24"/>
              </w:rPr>
              <w:t>≥40元</w:t>
            </w:r>
          </w:p>
        </w:tc>
        <w:tc>
          <w:tcPr>
            <w:tcW w:w="45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必选</w:t>
            </w:r>
          </w:p>
        </w:tc>
        <w:tc>
          <w:tcPr>
            <w:tcW w:w="971"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财务与国有资产管理处</w:t>
            </w:r>
          </w:p>
        </w:tc>
        <w:tc>
          <w:tcPr>
            <w:tcW w:w="934" w:type="pct"/>
            <w:vAlign w:val="center"/>
          </w:tcPr>
          <w:p>
            <w:pPr>
              <w:jc w:val="center"/>
              <w:rPr>
                <w:rFonts w:ascii="仿宋_GB2312" w:hAnsi="仿宋_GB2312" w:eastAsia="仿宋_GB2312" w:cs="仿宋_GB2312"/>
                <w:b/>
                <w:bCs/>
                <w:color w:val="39BBF5"/>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5</w:t>
            </w:r>
          </w:p>
        </w:tc>
        <w:tc>
          <w:tcPr>
            <w:tcW w:w="1454"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生均年教学日常运行支出</w:t>
            </w:r>
          </w:p>
        </w:tc>
        <w:tc>
          <w:tcPr>
            <w:tcW w:w="83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color w:val="000000"/>
                <w:sz w:val="24"/>
                <w:szCs w:val="24"/>
              </w:rPr>
              <w:t>≥1200元</w:t>
            </w:r>
          </w:p>
        </w:tc>
        <w:tc>
          <w:tcPr>
            <w:tcW w:w="45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必选</w:t>
            </w:r>
          </w:p>
        </w:tc>
        <w:tc>
          <w:tcPr>
            <w:tcW w:w="971"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财务与国有资产管理处</w:t>
            </w:r>
          </w:p>
        </w:tc>
        <w:tc>
          <w:tcPr>
            <w:tcW w:w="934" w:type="pct"/>
            <w:vAlign w:val="center"/>
          </w:tcPr>
          <w:p>
            <w:pPr>
              <w:jc w:val="center"/>
              <w:rPr>
                <w:rFonts w:ascii="仿宋_GB2312" w:hAnsi="仿宋_GB2312" w:eastAsia="仿宋_GB2312" w:cs="仿宋_GB2312"/>
                <w:b/>
                <w:bCs/>
                <w:color w:val="39BBF5"/>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6</w:t>
            </w:r>
          </w:p>
        </w:tc>
        <w:tc>
          <w:tcPr>
            <w:tcW w:w="1454"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教学日常运行支出占经常性预算内教育事业费拨款（205类教育拨款扣除专项拨款）与学费收入之和的比例</w:t>
            </w:r>
          </w:p>
        </w:tc>
        <w:tc>
          <w:tcPr>
            <w:tcW w:w="83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color w:val="000000"/>
                <w:sz w:val="24"/>
                <w:szCs w:val="24"/>
              </w:rPr>
              <w:t>≥13%</w:t>
            </w:r>
          </w:p>
        </w:tc>
        <w:tc>
          <w:tcPr>
            <w:tcW w:w="45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必选</w:t>
            </w:r>
          </w:p>
        </w:tc>
        <w:tc>
          <w:tcPr>
            <w:tcW w:w="971"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财务与国有资产管理处</w:t>
            </w:r>
          </w:p>
        </w:tc>
        <w:tc>
          <w:tcPr>
            <w:tcW w:w="934" w:type="pct"/>
            <w:vAlign w:val="center"/>
          </w:tcPr>
          <w:p>
            <w:pPr>
              <w:jc w:val="center"/>
              <w:rPr>
                <w:rFonts w:ascii="仿宋_GB2312" w:hAnsi="仿宋_GB2312" w:eastAsia="仿宋_GB2312" w:cs="仿宋_GB2312"/>
                <w:b/>
                <w:bCs/>
                <w:color w:val="39BBF5"/>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7</w:t>
            </w:r>
          </w:p>
        </w:tc>
        <w:tc>
          <w:tcPr>
            <w:tcW w:w="1454"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年新增教学科研仪器设备值所占比例</w:t>
            </w:r>
          </w:p>
        </w:tc>
        <w:tc>
          <w:tcPr>
            <w:tcW w:w="83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color w:val="000000"/>
                <w:sz w:val="24"/>
                <w:szCs w:val="24"/>
              </w:rPr>
              <w:t>≥10%（</w:t>
            </w:r>
            <w:r>
              <w:rPr>
                <w:rFonts w:hint="eastAsia" w:ascii="仿宋_GB2312" w:hAnsi="仿宋_GB2312" w:eastAsia="仿宋_GB2312" w:cs="仿宋_GB2312"/>
                <w:sz w:val="24"/>
                <w:szCs w:val="24"/>
              </w:rPr>
              <w:t>凡教学仪器设备总值超过1亿元的高校，当年新增教学仪器设备值超过 1000 万元，该项指标即为合格）</w:t>
            </w:r>
          </w:p>
        </w:tc>
        <w:tc>
          <w:tcPr>
            <w:tcW w:w="45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必选</w:t>
            </w:r>
          </w:p>
        </w:tc>
        <w:tc>
          <w:tcPr>
            <w:tcW w:w="971"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后勤处</w:t>
            </w:r>
          </w:p>
        </w:tc>
        <w:tc>
          <w:tcPr>
            <w:tcW w:w="934" w:type="pct"/>
            <w:vAlign w:val="center"/>
          </w:tcPr>
          <w:p>
            <w:pPr>
              <w:jc w:val="center"/>
              <w:rPr>
                <w:rFonts w:ascii="仿宋_GB2312" w:hAnsi="仿宋_GB2312" w:eastAsia="仿宋_GB2312" w:cs="仿宋_GB2312"/>
                <w:b/>
                <w:bCs/>
                <w:color w:val="39BBF5"/>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8</w:t>
            </w:r>
          </w:p>
        </w:tc>
        <w:tc>
          <w:tcPr>
            <w:tcW w:w="1454"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生均教学科研仪器设备值</w:t>
            </w:r>
          </w:p>
        </w:tc>
        <w:tc>
          <w:tcPr>
            <w:tcW w:w="83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≥3000 元</w:t>
            </w:r>
          </w:p>
        </w:tc>
        <w:tc>
          <w:tcPr>
            <w:tcW w:w="45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必选</w:t>
            </w:r>
          </w:p>
        </w:tc>
        <w:tc>
          <w:tcPr>
            <w:tcW w:w="971"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后勤处</w:t>
            </w:r>
          </w:p>
        </w:tc>
        <w:tc>
          <w:tcPr>
            <w:tcW w:w="934" w:type="pct"/>
            <w:vAlign w:val="center"/>
          </w:tcPr>
          <w:p>
            <w:pPr>
              <w:jc w:val="center"/>
              <w:rPr>
                <w:rFonts w:ascii="仿宋_GB2312" w:hAnsi="仿宋_GB2312" w:eastAsia="仿宋_GB2312" w:cs="仿宋_GB2312"/>
                <w:b/>
                <w:bCs/>
                <w:color w:val="FF2B2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9</w:t>
            </w:r>
          </w:p>
        </w:tc>
        <w:tc>
          <w:tcPr>
            <w:tcW w:w="1454"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学生毕业必须修满的公共艺术课程学分数</w:t>
            </w:r>
          </w:p>
        </w:tc>
        <w:tc>
          <w:tcPr>
            <w:tcW w:w="83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color w:val="000000"/>
                <w:sz w:val="24"/>
                <w:szCs w:val="24"/>
              </w:rPr>
              <w:t>≥2学分</w:t>
            </w:r>
          </w:p>
        </w:tc>
        <w:tc>
          <w:tcPr>
            <w:tcW w:w="45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必选</w:t>
            </w:r>
          </w:p>
        </w:tc>
        <w:tc>
          <w:tcPr>
            <w:tcW w:w="971"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教务处</w:t>
            </w:r>
          </w:p>
        </w:tc>
        <w:tc>
          <w:tcPr>
            <w:tcW w:w="934" w:type="pct"/>
            <w:vAlign w:val="center"/>
          </w:tcPr>
          <w:p>
            <w:pPr>
              <w:jc w:val="center"/>
              <w:rPr>
                <w:rFonts w:ascii="仿宋_GB2312" w:hAnsi="仿宋_GB2312" w:eastAsia="仿宋_GB2312" w:cs="仿宋_GB2312"/>
                <w:b/>
                <w:bCs/>
                <w:color w:val="39BBF5"/>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10</w:t>
            </w:r>
          </w:p>
        </w:tc>
        <w:tc>
          <w:tcPr>
            <w:tcW w:w="1454"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劳动教育必修课或必修课程中劳动教育模块学时总数</w:t>
            </w:r>
          </w:p>
        </w:tc>
        <w:tc>
          <w:tcPr>
            <w:tcW w:w="83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color w:val="000000"/>
                <w:sz w:val="24"/>
                <w:szCs w:val="24"/>
              </w:rPr>
              <w:t>≥32学时</w:t>
            </w:r>
          </w:p>
        </w:tc>
        <w:tc>
          <w:tcPr>
            <w:tcW w:w="45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必选</w:t>
            </w:r>
          </w:p>
        </w:tc>
        <w:tc>
          <w:tcPr>
            <w:tcW w:w="971"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教务处</w:t>
            </w:r>
          </w:p>
        </w:tc>
        <w:tc>
          <w:tcPr>
            <w:tcW w:w="934" w:type="pct"/>
            <w:vAlign w:val="center"/>
          </w:tcPr>
          <w:p>
            <w:pPr>
              <w:jc w:val="center"/>
              <w:rPr>
                <w:rFonts w:ascii="仿宋_GB2312" w:hAnsi="仿宋_GB2312" w:eastAsia="仿宋_GB2312" w:cs="仿宋_GB2312"/>
                <w:b/>
                <w:bCs/>
                <w:color w:val="39BBF5"/>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11</w:t>
            </w:r>
          </w:p>
        </w:tc>
        <w:tc>
          <w:tcPr>
            <w:tcW w:w="1454"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通过认证（评估）的专业占专业总数的比例</w:t>
            </w:r>
          </w:p>
        </w:tc>
        <w:tc>
          <w:tcPr>
            <w:tcW w:w="83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必选</w:t>
            </w:r>
          </w:p>
        </w:tc>
        <w:tc>
          <w:tcPr>
            <w:tcW w:w="971"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教务处</w:t>
            </w:r>
          </w:p>
        </w:tc>
        <w:tc>
          <w:tcPr>
            <w:tcW w:w="934" w:type="pct"/>
            <w:vAlign w:val="center"/>
          </w:tcPr>
          <w:p>
            <w:pPr>
              <w:jc w:val="center"/>
              <w:rPr>
                <w:rFonts w:ascii="仿宋_GB2312" w:hAnsi="仿宋_GB2312" w:eastAsia="仿宋_GB2312" w:cs="仿宋_GB2312"/>
                <w:b/>
                <w:bCs/>
                <w:color w:val="FF2B2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12</w:t>
            </w:r>
          </w:p>
        </w:tc>
        <w:tc>
          <w:tcPr>
            <w:tcW w:w="1454" w:type="pct"/>
            <w:vAlign w:val="center"/>
          </w:tcPr>
          <w:p>
            <w:pPr>
              <w:jc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szCs w:val="24"/>
              </w:rPr>
              <w:t>实践教学学分占总学分（学时）比例</w:t>
            </w:r>
          </w:p>
        </w:tc>
        <w:tc>
          <w:tcPr>
            <w:tcW w:w="83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color w:val="000000"/>
                <w:sz w:val="24"/>
                <w:szCs w:val="24"/>
              </w:rPr>
              <w:t>人文社科类专业≥15%，理工农医类专业≥25%</w:t>
            </w:r>
          </w:p>
        </w:tc>
        <w:tc>
          <w:tcPr>
            <w:tcW w:w="450"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szCs w:val="24"/>
              </w:rPr>
              <w:t>必选</w:t>
            </w:r>
          </w:p>
        </w:tc>
        <w:tc>
          <w:tcPr>
            <w:tcW w:w="971" w:type="pct"/>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教务处</w:t>
            </w:r>
          </w:p>
        </w:tc>
        <w:tc>
          <w:tcPr>
            <w:tcW w:w="934" w:type="pct"/>
            <w:vAlign w:val="center"/>
          </w:tcPr>
          <w:p>
            <w:pPr>
              <w:jc w:val="center"/>
              <w:rPr>
                <w:rFonts w:ascii="仿宋_GB2312" w:hAnsi="仿宋_GB2312" w:eastAsia="仿宋_GB2312" w:cs="仿宋_GB2312"/>
                <w:b/>
                <w:bCs/>
                <w:color w:val="FF2B2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13</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国家级、省级实践教学基地（包括实验教学示范中心、虚拟仿真实验中心、临床教学培训示范中心、工程实践基地、农科教合作人才培养基地等）数</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971"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教务处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14</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以实验、实习、工程实践和社会调查等实践性工作为基础的毕业论文（设计）比例</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≥50%</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971"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教务处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15</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使用马工程重点教材课程数量与学校应使用马工程重点教材课程数量的比例</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971"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教务处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16</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本科生生均课程门数</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971"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教务处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17-1</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本科生参加各级各类创新创业实践活动人数</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971"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教务处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17-2</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本科生参加各级各类创新创业实践活动比例</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971"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教务处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18</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“互联网+”大学生创新创业大赛获奖数</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971"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教务处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19</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主讲本科课程教授占教授总数的比例</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971"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教务处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20</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教授主讲本科课程人均学时数</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971"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教务处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21</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教授、副教授担任专业负责人的专业占专业总数的比例</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971"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教务处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22</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设有基层教学组织的专业占专业总数的比例</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教务处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23</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体质测试达标率</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体育教学部</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24</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专职辅导员岗位与在校生比例</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≥1:200</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人力资源处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25-1</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专职从事心理健康教育教师数</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至少2名</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人力资源处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25-2</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专职从事心理健康教育教师与在校生比例</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≥1:4000</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人力资源处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26</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专职就业指导教师和专职就业工作人员与应届毕业生比例</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≥1:500</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人力资源处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27</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生均本科实验经费（元）</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0" w:type="auto"/>
            <w:vAlign w:val="center"/>
          </w:tcPr>
          <w:p>
            <w:pPr>
              <w:rPr>
                <w:rFonts w:ascii="仿宋_GB2312" w:hAnsi="仿宋_GB2312" w:eastAsia="仿宋_GB2312" w:cs="仿宋_GB2312"/>
                <w:color w:val="000000"/>
                <w:sz w:val="24"/>
                <w:szCs w:val="24"/>
              </w:rPr>
            </w:pPr>
            <w:r>
              <w:rPr>
                <w:rFonts w:hint="eastAsia" w:ascii="仿宋_GB2312" w:hAnsi="仿宋_GB2312" w:eastAsia="仿宋_GB2312" w:cs="仿宋_GB2312"/>
                <w:sz w:val="24"/>
                <w:szCs w:val="24"/>
              </w:rPr>
              <w:t>财务与国有资产管理处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28</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生均本科实习经费（元）</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sz w:val="24"/>
                <w:szCs w:val="24"/>
              </w:rPr>
              <w:t>财务与国有资产管理处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29-1</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生师比</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≤18:1</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人力资源处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29-2</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本科生师比</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人力资源处</w:t>
            </w:r>
          </w:p>
        </w:tc>
        <w:tc>
          <w:tcPr>
            <w:tcW w:w="934" w:type="pct"/>
            <w:vAlign w:val="center"/>
          </w:tcPr>
          <w:p>
            <w:pPr>
              <w:jc w:val="both"/>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30</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具有硕士学位、博士学位教师占专任教师比例</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≥50%</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人力资源处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31</w:t>
            </w:r>
          </w:p>
        </w:tc>
        <w:tc>
          <w:tcPr>
            <w:tcW w:w="1454" w:type="pct"/>
            <w:vAlign w:val="center"/>
          </w:tcPr>
          <w:p>
            <w:pPr>
              <w:jc w:val="center"/>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sz w:val="24"/>
                <w:szCs w:val="24"/>
              </w:rPr>
              <w:t>应届本科生初次就业率（%）</w:t>
            </w:r>
          </w:p>
        </w:tc>
        <w:tc>
          <w:tcPr>
            <w:tcW w:w="830" w:type="pct"/>
            <w:vAlign w:val="center"/>
          </w:tcPr>
          <w:p>
            <w:pPr>
              <w:jc w:val="center"/>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sz w:val="24"/>
                <w:szCs w:val="24"/>
              </w:rPr>
              <w:t>——</w:t>
            </w:r>
          </w:p>
        </w:tc>
        <w:tc>
          <w:tcPr>
            <w:tcW w:w="450" w:type="pct"/>
            <w:vAlign w:val="center"/>
          </w:tcPr>
          <w:p>
            <w:pPr>
              <w:jc w:val="center"/>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sz w:val="24"/>
                <w:szCs w:val="24"/>
                <w:lang w:val="en-US" w:eastAsia="zh-CN"/>
              </w:rPr>
              <w:t>必</w:t>
            </w:r>
            <w:r>
              <w:rPr>
                <w:rFonts w:hint="eastAsia" w:ascii="仿宋_GB2312" w:hAnsi="仿宋_GB2312" w:eastAsia="仿宋_GB2312" w:cs="仿宋_GB2312"/>
                <w:color w:val="000000"/>
                <w:sz w:val="24"/>
                <w:szCs w:val="24"/>
              </w:rPr>
              <w:t>选</w:t>
            </w:r>
          </w:p>
        </w:tc>
        <w:tc>
          <w:tcPr>
            <w:tcW w:w="0" w:type="auto"/>
            <w:vAlign w:val="center"/>
          </w:tcPr>
          <w:p>
            <w:pPr>
              <w:jc w:val="center"/>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sz w:val="24"/>
                <w:szCs w:val="24"/>
              </w:rPr>
              <w:t>学工部</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3</w:t>
            </w:r>
            <w:r>
              <w:rPr>
                <w:rFonts w:hint="eastAsia" w:ascii="仿宋_GB2312" w:hAnsi="仿宋_GB2312" w:eastAsia="仿宋_GB2312" w:cs="仿宋_GB2312"/>
                <w:color w:val="000000"/>
                <w:sz w:val="24"/>
                <w:szCs w:val="24"/>
                <w:lang w:val="en-US" w:eastAsia="zh-CN"/>
              </w:rPr>
              <w:t>2</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专任教师持证（教师资格证）上岗的比例</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人力资源处</w:t>
            </w:r>
          </w:p>
        </w:tc>
        <w:tc>
          <w:tcPr>
            <w:tcW w:w="93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属广东省审核评估特设数据，不在系统内填报，需另外采集并提供持证名册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3</w:t>
            </w:r>
            <w:r>
              <w:rPr>
                <w:rFonts w:hint="eastAsia" w:ascii="仿宋_GB2312" w:hAnsi="仿宋_GB2312" w:eastAsia="仿宋_GB2312" w:cs="仿宋_GB2312"/>
                <w:color w:val="000000"/>
                <w:sz w:val="24"/>
                <w:szCs w:val="24"/>
                <w:lang w:val="en-US" w:eastAsia="zh-CN"/>
              </w:rPr>
              <w:t>3</w:t>
            </w:r>
          </w:p>
        </w:tc>
        <w:tc>
          <w:tcPr>
            <w:tcW w:w="1454" w:type="pct"/>
            <w:vAlign w:val="center"/>
          </w:tcPr>
          <w:p>
            <w:pPr>
              <w:widowControl/>
              <w:jc w:val="center"/>
              <w:textAlignment w:val="center"/>
              <w:rPr>
                <w:rFonts w:ascii="仿宋_GB2312" w:hAnsi="等线" w:eastAsia="仿宋_GB2312" w:cs="仿宋_GB2312"/>
                <w:color w:val="000000"/>
                <w:kern w:val="0"/>
                <w:sz w:val="24"/>
                <w:szCs w:val="24"/>
                <w:lang w:bidi="ar"/>
              </w:rPr>
            </w:pPr>
            <w:r>
              <w:rPr>
                <w:rFonts w:hint="eastAsia" w:ascii="仿宋_GB2312" w:hAnsi="等线" w:eastAsia="仿宋_GB2312" w:cs="仿宋_GB2312"/>
                <w:color w:val="000000"/>
                <w:kern w:val="0"/>
                <w:sz w:val="24"/>
                <w:szCs w:val="24"/>
                <w:lang w:bidi="ar"/>
              </w:rPr>
              <w:t>学生每天体育活动时间</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必选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体育教学部</w:t>
            </w:r>
          </w:p>
        </w:tc>
        <w:tc>
          <w:tcPr>
            <w:tcW w:w="93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属广东省审核评估特设数据，不在系统内填报，需另外采集并提供佐证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3</w:t>
            </w:r>
            <w:r>
              <w:rPr>
                <w:rFonts w:hint="eastAsia" w:ascii="仿宋_GB2312" w:hAnsi="仿宋_GB2312" w:eastAsia="仿宋_GB2312" w:cs="仿宋_GB2312"/>
                <w:color w:val="000000"/>
                <w:sz w:val="24"/>
                <w:szCs w:val="24"/>
                <w:lang w:val="en-US" w:eastAsia="zh-CN"/>
              </w:rPr>
              <w:t>4</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近三年新增专业数</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教务处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3</w:t>
            </w:r>
            <w:r>
              <w:rPr>
                <w:rFonts w:hint="eastAsia" w:ascii="仿宋_GB2312" w:hAnsi="仿宋_GB2312" w:eastAsia="仿宋_GB2312" w:cs="仿宋_GB2312"/>
                <w:color w:val="000000"/>
                <w:sz w:val="24"/>
                <w:szCs w:val="24"/>
                <w:lang w:val="en-US" w:eastAsia="zh-CN"/>
              </w:rPr>
              <w:t>5</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近三年停招专业数</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教务处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3</w:t>
            </w:r>
            <w:r>
              <w:rPr>
                <w:rFonts w:hint="eastAsia" w:ascii="仿宋_GB2312" w:hAnsi="仿宋_GB2312" w:eastAsia="仿宋_GB2312" w:cs="仿宋_GB2312"/>
                <w:color w:val="000000"/>
                <w:sz w:val="24"/>
                <w:szCs w:val="24"/>
                <w:lang w:val="en-US" w:eastAsia="zh-CN"/>
              </w:rPr>
              <w:t>6</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eastAsia="zh-TW"/>
              </w:rPr>
              <w:t>与行业企业共建的实验教学中心数</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教务处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3</w:t>
            </w:r>
            <w:r>
              <w:rPr>
                <w:rFonts w:hint="eastAsia" w:ascii="仿宋_GB2312" w:hAnsi="仿宋_GB2312" w:eastAsia="仿宋_GB2312" w:cs="仿宋_GB2312"/>
                <w:color w:val="000000"/>
                <w:sz w:val="24"/>
                <w:szCs w:val="24"/>
                <w:lang w:val="en-US" w:eastAsia="zh-CN"/>
              </w:rPr>
              <w:t>7</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近五年公开出版的教材数</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教务处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3</w:t>
            </w:r>
            <w:r>
              <w:rPr>
                <w:rFonts w:hint="eastAsia" w:ascii="仿宋_GB2312" w:hAnsi="仿宋_GB2312" w:eastAsia="仿宋_GB2312" w:cs="仿宋_GB2312"/>
                <w:color w:val="000000"/>
                <w:sz w:val="24"/>
                <w:szCs w:val="24"/>
                <w:lang w:val="en-US" w:eastAsia="zh-CN"/>
              </w:rPr>
              <w:t>8</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产学合作协同育人项目数</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教务处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3</w:t>
            </w:r>
            <w:r>
              <w:rPr>
                <w:rFonts w:hint="eastAsia" w:ascii="仿宋_GB2312" w:hAnsi="仿宋_GB2312" w:eastAsia="仿宋_GB2312" w:cs="仿宋_GB2312"/>
                <w:color w:val="000000"/>
                <w:sz w:val="24"/>
                <w:szCs w:val="24"/>
                <w:lang w:val="en-US" w:eastAsia="zh-CN"/>
              </w:rPr>
              <w:t>9</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与行业企业共建、共同讲授的课程数</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教务处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40</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省级以上学科竞赛获奖学生人次数占学生总数的比例</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教务处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4</w:t>
            </w:r>
            <w:r>
              <w:rPr>
                <w:rFonts w:hint="eastAsia" w:ascii="仿宋_GB2312" w:hAnsi="仿宋_GB2312" w:eastAsia="仿宋_GB2312" w:cs="仿宋_GB2312"/>
                <w:color w:val="000000"/>
                <w:sz w:val="24"/>
                <w:szCs w:val="24"/>
                <w:lang w:val="en-US" w:eastAsia="zh-CN"/>
              </w:rPr>
              <w:t>1</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教师发展中心培训本校教师的比例</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人力资源处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4</w:t>
            </w:r>
            <w:r>
              <w:rPr>
                <w:rFonts w:hint="eastAsia" w:ascii="仿宋_GB2312" w:hAnsi="仿宋_GB2312" w:eastAsia="仿宋_GB2312" w:cs="仿宋_GB2312"/>
                <w:color w:val="000000"/>
                <w:sz w:val="24"/>
                <w:szCs w:val="24"/>
                <w:lang w:val="en-US" w:eastAsia="zh-CN"/>
              </w:rPr>
              <w:t>2</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专任教师中双师双能型教师的比例</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人力资源处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4</w:t>
            </w:r>
            <w:r>
              <w:rPr>
                <w:rFonts w:hint="eastAsia" w:ascii="仿宋_GB2312" w:hAnsi="仿宋_GB2312" w:eastAsia="仿宋_GB2312" w:cs="仿宋_GB2312"/>
                <w:color w:val="000000"/>
                <w:sz w:val="24"/>
                <w:szCs w:val="24"/>
                <w:lang w:val="en-US" w:eastAsia="zh-CN"/>
              </w:rPr>
              <w:t>3</w:t>
            </w:r>
            <w:r>
              <w:rPr>
                <w:rFonts w:hint="eastAsia" w:ascii="仿宋_GB2312" w:hAnsi="仿宋_GB2312" w:eastAsia="仿宋_GB2312" w:cs="仿宋_GB2312"/>
                <w:color w:val="000000"/>
                <w:sz w:val="24"/>
                <w:szCs w:val="24"/>
              </w:rPr>
              <w:t>-1</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本科生以第一作者/通讯作者在公开发行期刊发表的论文数</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学工部</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4</w:t>
            </w:r>
            <w:r>
              <w:rPr>
                <w:rFonts w:hint="eastAsia" w:ascii="仿宋_GB2312" w:hAnsi="仿宋_GB2312" w:eastAsia="仿宋_GB2312" w:cs="仿宋_GB2312"/>
                <w:color w:val="000000"/>
                <w:sz w:val="24"/>
                <w:szCs w:val="24"/>
                <w:lang w:val="en-US" w:eastAsia="zh-CN"/>
              </w:rPr>
              <w:t>3</w:t>
            </w:r>
            <w:r>
              <w:rPr>
                <w:rFonts w:hint="eastAsia" w:ascii="仿宋_GB2312" w:hAnsi="仿宋_GB2312" w:eastAsia="仿宋_GB2312" w:cs="仿宋_GB2312"/>
                <w:color w:val="000000"/>
                <w:sz w:val="24"/>
                <w:szCs w:val="24"/>
              </w:rPr>
              <w:t>-2</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本科生获批国家发明专利数</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学工部</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4</w:t>
            </w:r>
            <w:r>
              <w:rPr>
                <w:rFonts w:hint="eastAsia" w:ascii="仿宋_GB2312" w:hAnsi="仿宋_GB2312" w:eastAsia="仿宋_GB2312" w:cs="仿宋_GB2312"/>
                <w:color w:val="000000"/>
                <w:sz w:val="24"/>
                <w:szCs w:val="24"/>
                <w:lang w:val="en-US" w:eastAsia="zh-CN"/>
              </w:rPr>
              <w:t>4</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在学期间获得国家认可的职业资格证书学生数占在校生数的比例</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学工部</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4</w:t>
            </w:r>
            <w:r>
              <w:rPr>
                <w:rFonts w:hint="eastAsia" w:ascii="仿宋_GB2312" w:hAnsi="仿宋_GB2312" w:eastAsia="仿宋_GB2312" w:cs="仿宋_GB2312"/>
                <w:color w:val="000000"/>
                <w:sz w:val="24"/>
                <w:szCs w:val="24"/>
                <w:lang w:val="en-US" w:eastAsia="zh-CN"/>
              </w:rPr>
              <w:t>5</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省级以上艺术展演、体育竞赛参赛获奖学生人次数占学生总数的比例</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校团委</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4</w:t>
            </w:r>
            <w:r>
              <w:rPr>
                <w:rFonts w:hint="eastAsia" w:ascii="仿宋_GB2312" w:hAnsi="仿宋_GB2312" w:eastAsia="仿宋_GB2312" w:cs="仿宋_GB2312"/>
                <w:color w:val="000000"/>
                <w:sz w:val="24"/>
                <w:szCs w:val="24"/>
                <w:lang w:val="en-US" w:eastAsia="zh-CN"/>
              </w:rPr>
              <w:t>6</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在学期间赴国(境)外高校交流、访学、实习的学生数占在校生数的比例</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国际交流与合作处</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4</w:t>
            </w:r>
            <w:r>
              <w:rPr>
                <w:rFonts w:hint="eastAsia" w:ascii="仿宋_GB2312" w:hAnsi="仿宋_GB2312" w:eastAsia="仿宋_GB2312" w:cs="仿宋_GB2312"/>
                <w:color w:val="000000"/>
                <w:sz w:val="24"/>
                <w:szCs w:val="24"/>
                <w:lang w:val="en-US" w:eastAsia="zh-CN"/>
              </w:rPr>
              <w:t>7</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升学率</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学工部</w:t>
            </w:r>
          </w:p>
        </w:tc>
        <w:tc>
          <w:tcPr>
            <w:tcW w:w="934" w:type="pct"/>
            <w:vAlign w:val="center"/>
          </w:tcPr>
          <w:p>
            <w:pPr>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4</w:t>
            </w:r>
            <w:r>
              <w:rPr>
                <w:rFonts w:hint="eastAsia" w:ascii="仿宋_GB2312" w:hAnsi="仿宋_GB2312" w:eastAsia="仿宋_GB2312" w:cs="仿宋_GB2312"/>
                <w:color w:val="000000"/>
                <w:sz w:val="24"/>
                <w:szCs w:val="24"/>
                <w:lang w:val="en-US" w:eastAsia="zh-CN"/>
              </w:rPr>
              <w:t>8</w:t>
            </w:r>
          </w:p>
        </w:tc>
        <w:tc>
          <w:tcPr>
            <w:tcW w:w="1454" w:type="pct"/>
            <w:vAlign w:val="center"/>
          </w:tcPr>
          <w:p>
            <w:pPr>
              <w:widowControl/>
              <w:jc w:val="center"/>
              <w:textAlignment w:val="center"/>
              <w:rPr>
                <w:rFonts w:ascii="仿宋_GB2312" w:hAnsi="等线" w:eastAsia="仿宋_GB2312" w:cs="仿宋_GB2312"/>
                <w:color w:val="000000"/>
                <w:sz w:val="24"/>
                <w:szCs w:val="24"/>
              </w:rPr>
            </w:pPr>
            <w:r>
              <w:rPr>
                <w:rFonts w:hint="eastAsia" w:ascii="仿宋_GB2312" w:hAnsi="等线" w:eastAsia="仿宋_GB2312" w:cs="仿宋_GB2312"/>
                <w:color w:val="000000"/>
                <w:kern w:val="0"/>
                <w:sz w:val="24"/>
                <w:szCs w:val="24"/>
                <w:lang w:bidi="ar"/>
              </w:rPr>
              <w:t>体质测试优良率（%）</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体育教学部</w:t>
            </w:r>
          </w:p>
        </w:tc>
        <w:tc>
          <w:tcPr>
            <w:tcW w:w="93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属广东省审核评估特设数据，不在系统内填报，需参照“表 6-6-9”格式要求采集“优秀人数”“良好人数”并提供统计表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49</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专任教师中具有一年以上国（境）外工作或学习经历的教师数</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人力资源处</w:t>
            </w:r>
          </w:p>
        </w:tc>
        <w:tc>
          <w:tcPr>
            <w:tcW w:w="93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属广东省审核评估特设数据，可在系统内填报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9" w:type="pct"/>
            <w:vAlign w:val="center"/>
          </w:tcPr>
          <w:p>
            <w:pPr>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5</w:t>
            </w:r>
            <w:r>
              <w:rPr>
                <w:rFonts w:hint="eastAsia" w:ascii="仿宋_GB2312" w:hAnsi="仿宋_GB2312" w:eastAsia="仿宋_GB2312" w:cs="仿宋_GB2312"/>
                <w:color w:val="000000"/>
                <w:sz w:val="24"/>
                <w:szCs w:val="24"/>
                <w:lang w:val="en-US" w:eastAsia="zh-CN"/>
              </w:rPr>
              <w:t>0</w:t>
            </w:r>
          </w:p>
        </w:tc>
        <w:tc>
          <w:tcPr>
            <w:tcW w:w="145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国（境）外高校本科生来校访学学生数</w:t>
            </w:r>
          </w:p>
        </w:tc>
        <w:tc>
          <w:tcPr>
            <w:tcW w:w="83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tc>
        <w:tc>
          <w:tcPr>
            <w:tcW w:w="450"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可选</w:t>
            </w:r>
          </w:p>
        </w:tc>
        <w:tc>
          <w:tcPr>
            <w:tcW w:w="0" w:type="auto"/>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国际交流与合作处</w:t>
            </w:r>
          </w:p>
        </w:tc>
        <w:tc>
          <w:tcPr>
            <w:tcW w:w="934" w:type="pct"/>
            <w:vAlign w:val="center"/>
          </w:tcPr>
          <w:p>
            <w:pPr>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属广东省审核评估特设数据，不在系统内填报，需另外采集并提供学生名册</w:t>
            </w:r>
          </w:p>
        </w:tc>
      </w:tr>
    </w:tbl>
    <w:p>
      <w:pPr>
        <w:rPr>
          <w:rFonts w:ascii="仿宋_GB2312" w:hAnsi="仿宋_GB2312" w:eastAsia="仿宋_GB2312" w:cs="仿宋_GB2312"/>
          <w:color w:val="000000"/>
          <w:sz w:val="24"/>
          <w:szCs w:val="24"/>
        </w:rPr>
      </w:pPr>
      <w:bookmarkStart w:id="0" w:name="_GoBack"/>
      <w:bookmarkEnd w:id="0"/>
    </w:p>
    <w:sectPr>
      <w:footerReference r:id="rId3" w:type="default"/>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60A"/>
    <w:rsid w:val="00000680"/>
    <w:rsid w:val="00004262"/>
    <w:rsid w:val="000067A5"/>
    <w:rsid w:val="00006DDC"/>
    <w:rsid w:val="000122F0"/>
    <w:rsid w:val="000126ED"/>
    <w:rsid w:val="00012952"/>
    <w:rsid w:val="00014715"/>
    <w:rsid w:val="0001549D"/>
    <w:rsid w:val="00020035"/>
    <w:rsid w:val="00020D92"/>
    <w:rsid w:val="00021258"/>
    <w:rsid w:val="00021428"/>
    <w:rsid w:val="000224CA"/>
    <w:rsid w:val="00022BE5"/>
    <w:rsid w:val="00022E92"/>
    <w:rsid w:val="00022F54"/>
    <w:rsid w:val="000247FC"/>
    <w:rsid w:val="00025283"/>
    <w:rsid w:val="00026857"/>
    <w:rsid w:val="00027FD1"/>
    <w:rsid w:val="000306C1"/>
    <w:rsid w:val="00030BE5"/>
    <w:rsid w:val="00030C81"/>
    <w:rsid w:val="00030F51"/>
    <w:rsid w:val="000315B0"/>
    <w:rsid w:val="00033E03"/>
    <w:rsid w:val="000353C1"/>
    <w:rsid w:val="000362C2"/>
    <w:rsid w:val="00037024"/>
    <w:rsid w:val="00037D78"/>
    <w:rsid w:val="00041858"/>
    <w:rsid w:val="0004249D"/>
    <w:rsid w:val="000436FC"/>
    <w:rsid w:val="0004593F"/>
    <w:rsid w:val="0005170F"/>
    <w:rsid w:val="00055361"/>
    <w:rsid w:val="0006075C"/>
    <w:rsid w:val="00062494"/>
    <w:rsid w:val="0006311C"/>
    <w:rsid w:val="00064913"/>
    <w:rsid w:val="00064B38"/>
    <w:rsid w:val="00065B8B"/>
    <w:rsid w:val="00066309"/>
    <w:rsid w:val="00066BBF"/>
    <w:rsid w:val="00067D35"/>
    <w:rsid w:val="00070403"/>
    <w:rsid w:val="00070CA4"/>
    <w:rsid w:val="000712A0"/>
    <w:rsid w:val="000712CF"/>
    <w:rsid w:val="00073323"/>
    <w:rsid w:val="00074E7A"/>
    <w:rsid w:val="000766EA"/>
    <w:rsid w:val="00080F4E"/>
    <w:rsid w:val="00081EF4"/>
    <w:rsid w:val="000820D2"/>
    <w:rsid w:val="000828D7"/>
    <w:rsid w:val="00084543"/>
    <w:rsid w:val="0008491E"/>
    <w:rsid w:val="00085434"/>
    <w:rsid w:val="00087370"/>
    <w:rsid w:val="00091CF7"/>
    <w:rsid w:val="000925A2"/>
    <w:rsid w:val="000936EA"/>
    <w:rsid w:val="00095B7E"/>
    <w:rsid w:val="000962EF"/>
    <w:rsid w:val="000A0F84"/>
    <w:rsid w:val="000A13B5"/>
    <w:rsid w:val="000A285D"/>
    <w:rsid w:val="000A2F56"/>
    <w:rsid w:val="000A40E4"/>
    <w:rsid w:val="000A5967"/>
    <w:rsid w:val="000A5EDD"/>
    <w:rsid w:val="000A60E8"/>
    <w:rsid w:val="000A7B21"/>
    <w:rsid w:val="000B1142"/>
    <w:rsid w:val="000B143F"/>
    <w:rsid w:val="000B2451"/>
    <w:rsid w:val="000B33C2"/>
    <w:rsid w:val="000B3FB8"/>
    <w:rsid w:val="000B7902"/>
    <w:rsid w:val="000C0AF3"/>
    <w:rsid w:val="000C16B9"/>
    <w:rsid w:val="000C390B"/>
    <w:rsid w:val="000C592A"/>
    <w:rsid w:val="000C624A"/>
    <w:rsid w:val="000C6C0B"/>
    <w:rsid w:val="000D0DEA"/>
    <w:rsid w:val="000D15BB"/>
    <w:rsid w:val="000D5BEE"/>
    <w:rsid w:val="000D5E78"/>
    <w:rsid w:val="000D6EE6"/>
    <w:rsid w:val="000D7C76"/>
    <w:rsid w:val="000E007F"/>
    <w:rsid w:val="000E2F6B"/>
    <w:rsid w:val="000E3200"/>
    <w:rsid w:val="000E3949"/>
    <w:rsid w:val="000E4872"/>
    <w:rsid w:val="000E4CCB"/>
    <w:rsid w:val="000E730C"/>
    <w:rsid w:val="000E7586"/>
    <w:rsid w:val="000F08F6"/>
    <w:rsid w:val="000F27A0"/>
    <w:rsid w:val="001003D6"/>
    <w:rsid w:val="00100F60"/>
    <w:rsid w:val="00106072"/>
    <w:rsid w:val="00106670"/>
    <w:rsid w:val="00106F7A"/>
    <w:rsid w:val="0011126A"/>
    <w:rsid w:val="00113B2F"/>
    <w:rsid w:val="0011454C"/>
    <w:rsid w:val="001153BB"/>
    <w:rsid w:val="00115E4B"/>
    <w:rsid w:val="00116078"/>
    <w:rsid w:val="0011774E"/>
    <w:rsid w:val="0011782E"/>
    <w:rsid w:val="0012008F"/>
    <w:rsid w:val="0012329F"/>
    <w:rsid w:val="001233F5"/>
    <w:rsid w:val="00126AE9"/>
    <w:rsid w:val="00126ECF"/>
    <w:rsid w:val="001306B2"/>
    <w:rsid w:val="00130F4B"/>
    <w:rsid w:val="00132675"/>
    <w:rsid w:val="00132B6D"/>
    <w:rsid w:val="00132D95"/>
    <w:rsid w:val="0013585F"/>
    <w:rsid w:val="001365DC"/>
    <w:rsid w:val="00136739"/>
    <w:rsid w:val="00136D20"/>
    <w:rsid w:val="00137479"/>
    <w:rsid w:val="0014114D"/>
    <w:rsid w:val="00141EAD"/>
    <w:rsid w:val="001422A4"/>
    <w:rsid w:val="0014592D"/>
    <w:rsid w:val="001472AC"/>
    <w:rsid w:val="00147B5B"/>
    <w:rsid w:val="00150F30"/>
    <w:rsid w:val="00154C5A"/>
    <w:rsid w:val="00154F88"/>
    <w:rsid w:val="00155AE7"/>
    <w:rsid w:val="00156E68"/>
    <w:rsid w:val="00157BD0"/>
    <w:rsid w:val="001606C5"/>
    <w:rsid w:val="001620D1"/>
    <w:rsid w:val="0016447E"/>
    <w:rsid w:val="00164759"/>
    <w:rsid w:val="0016535C"/>
    <w:rsid w:val="00165B8B"/>
    <w:rsid w:val="001671AE"/>
    <w:rsid w:val="0016733B"/>
    <w:rsid w:val="00171160"/>
    <w:rsid w:val="00171D1F"/>
    <w:rsid w:val="00172F15"/>
    <w:rsid w:val="001753A0"/>
    <w:rsid w:val="00176C4E"/>
    <w:rsid w:val="00180B36"/>
    <w:rsid w:val="00180E75"/>
    <w:rsid w:val="00181E01"/>
    <w:rsid w:val="001824C6"/>
    <w:rsid w:val="00187DE5"/>
    <w:rsid w:val="001900CC"/>
    <w:rsid w:val="00192BC3"/>
    <w:rsid w:val="00195DA5"/>
    <w:rsid w:val="001962F1"/>
    <w:rsid w:val="00197431"/>
    <w:rsid w:val="001A01EF"/>
    <w:rsid w:val="001A389D"/>
    <w:rsid w:val="001A3B0A"/>
    <w:rsid w:val="001A517D"/>
    <w:rsid w:val="001A6A51"/>
    <w:rsid w:val="001B64C3"/>
    <w:rsid w:val="001C166E"/>
    <w:rsid w:val="001C26F2"/>
    <w:rsid w:val="001C293A"/>
    <w:rsid w:val="001C5577"/>
    <w:rsid w:val="001C708B"/>
    <w:rsid w:val="001D1157"/>
    <w:rsid w:val="001D2A9C"/>
    <w:rsid w:val="001D45EB"/>
    <w:rsid w:val="001D5473"/>
    <w:rsid w:val="001D62BF"/>
    <w:rsid w:val="001D634D"/>
    <w:rsid w:val="001E21EA"/>
    <w:rsid w:val="001E35BB"/>
    <w:rsid w:val="001E38EC"/>
    <w:rsid w:val="001E40B3"/>
    <w:rsid w:val="001E4B79"/>
    <w:rsid w:val="001E56E6"/>
    <w:rsid w:val="001E630A"/>
    <w:rsid w:val="001F0686"/>
    <w:rsid w:val="001F2005"/>
    <w:rsid w:val="001F2D6F"/>
    <w:rsid w:val="001F3006"/>
    <w:rsid w:val="001F405C"/>
    <w:rsid w:val="001F4399"/>
    <w:rsid w:val="001F53B5"/>
    <w:rsid w:val="001F5724"/>
    <w:rsid w:val="001F5AD3"/>
    <w:rsid w:val="001F5DC6"/>
    <w:rsid w:val="001F69A1"/>
    <w:rsid w:val="001F7965"/>
    <w:rsid w:val="0020071B"/>
    <w:rsid w:val="00202087"/>
    <w:rsid w:val="00203DF9"/>
    <w:rsid w:val="002103B0"/>
    <w:rsid w:val="00210C49"/>
    <w:rsid w:val="00211B3C"/>
    <w:rsid w:val="00212844"/>
    <w:rsid w:val="002179D5"/>
    <w:rsid w:val="002202B8"/>
    <w:rsid w:val="0022160A"/>
    <w:rsid w:val="00224D24"/>
    <w:rsid w:val="00225D51"/>
    <w:rsid w:val="0022651E"/>
    <w:rsid w:val="00227F6F"/>
    <w:rsid w:val="0023035E"/>
    <w:rsid w:val="0023544A"/>
    <w:rsid w:val="00235558"/>
    <w:rsid w:val="00237281"/>
    <w:rsid w:val="002418AF"/>
    <w:rsid w:val="0024345D"/>
    <w:rsid w:val="00244358"/>
    <w:rsid w:val="00245253"/>
    <w:rsid w:val="002454E6"/>
    <w:rsid w:val="00247304"/>
    <w:rsid w:val="00247C5F"/>
    <w:rsid w:val="00247D01"/>
    <w:rsid w:val="00252127"/>
    <w:rsid w:val="00252291"/>
    <w:rsid w:val="002536A8"/>
    <w:rsid w:val="002543A6"/>
    <w:rsid w:val="00254981"/>
    <w:rsid w:val="0025576A"/>
    <w:rsid w:val="00255A53"/>
    <w:rsid w:val="00256990"/>
    <w:rsid w:val="0026042B"/>
    <w:rsid w:val="00260A87"/>
    <w:rsid w:val="00261D32"/>
    <w:rsid w:val="002622AC"/>
    <w:rsid w:val="00262C29"/>
    <w:rsid w:val="0026463A"/>
    <w:rsid w:val="0026570C"/>
    <w:rsid w:val="00271607"/>
    <w:rsid w:val="00273ACB"/>
    <w:rsid w:val="00273F6E"/>
    <w:rsid w:val="00274971"/>
    <w:rsid w:val="002753CB"/>
    <w:rsid w:val="00275711"/>
    <w:rsid w:val="00277791"/>
    <w:rsid w:val="00277CCF"/>
    <w:rsid w:val="00283502"/>
    <w:rsid w:val="00284796"/>
    <w:rsid w:val="00285CFE"/>
    <w:rsid w:val="0028662F"/>
    <w:rsid w:val="00291326"/>
    <w:rsid w:val="00293297"/>
    <w:rsid w:val="00293AA4"/>
    <w:rsid w:val="0029465C"/>
    <w:rsid w:val="00294CC4"/>
    <w:rsid w:val="00294F66"/>
    <w:rsid w:val="0029546A"/>
    <w:rsid w:val="00295B72"/>
    <w:rsid w:val="002A0426"/>
    <w:rsid w:val="002A04DA"/>
    <w:rsid w:val="002A0BDC"/>
    <w:rsid w:val="002A1AE2"/>
    <w:rsid w:val="002A2F61"/>
    <w:rsid w:val="002A3000"/>
    <w:rsid w:val="002A37DE"/>
    <w:rsid w:val="002A500E"/>
    <w:rsid w:val="002A5A8B"/>
    <w:rsid w:val="002A5D36"/>
    <w:rsid w:val="002A7414"/>
    <w:rsid w:val="002B3F87"/>
    <w:rsid w:val="002B4783"/>
    <w:rsid w:val="002B7BD3"/>
    <w:rsid w:val="002B7D5B"/>
    <w:rsid w:val="002C104F"/>
    <w:rsid w:val="002C1A7D"/>
    <w:rsid w:val="002C3120"/>
    <w:rsid w:val="002C34A3"/>
    <w:rsid w:val="002C34BB"/>
    <w:rsid w:val="002C3ED1"/>
    <w:rsid w:val="002C4003"/>
    <w:rsid w:val="002C46E4"/>
    <w:rsid w:val="002D10A6"/>
    <w:rsid w:val="002D136E"/>
    <w:rsid w:val="002D2218"/>
    <w:rsid w:val="002D387A"/>
    <w:rsid w:val="002D5B5A"/>
    <w:rsid w:val="002D5E59"/>
    <w:rsid w:val="002D63B6"/>
    <w:rsid w:val="002D652C"/>
    <w:rsid w:val="002E0D7B"/>
    <w:rsid w:val="002E25C6"/>
    <w:rsid w:val="002E5009"/>
    <w:rsid w:val="002E64FC"/>
    <w:rsid w:val="002E662D"/>
    <w:rsid w:val="002F1740"/>
    <w:rsid w:val="002F2AB5"/>
    <w:rsid w:val="002F3696"/>
    <w:rsid w:val="002F607F"/>
    <w:rsid w:val="002F68C4"/>
    <w:rsid w:val="002F6CEA"/>
    <w:rsid w:val="002F7759"/>
    <w:rsid w:val="00300E48"/>
    <w:rsid w:val="0030257E"/>
    <w:rsid w:val="003032FE"/>
    <w:rsid w:val="00303A9E"/>
    <w:rsid w:val="00305312"/>
    <w:rsid w:val="00305FD6"/>
    <w:rsid w:val="00306F2D"/>
    <w:rsid w:val="0031211B"/>
    <w:rsid w:val="00312216"/>
    <w:rsid w:val="00313174"/>
    <w:rsid w:val="00313210"/>
    <w:rsid w:val="00313B71"/>
    <w:rsid w:val="00313C29"/>
    <w:rsid w:val="00313C98"/>
    <w:rsid w:val="0031420C"/>
    <w:rsid w:val="00314C0E"/>
    <w:rsid w:val="00315CFD"/>
    <w:rsid w:val="00317295"/>
    <w:rsid w:val="0031755A"/>
    <w:rsid w:val="00317F25"/>
    <w:rsid w:val="00324EB8"/>
    <w:rsid w:val="00325117"/>
    <w:rsid w:val="00327EE8"/>
    <w:rsid w:val="0033025D"/>
    <w:rsid w:val="003303DC"/>
    <w:rsid w:val="003317B7"/>
    <w:rsid w:val="00331A44"/>
    <w:rsid w:val="003346F2"/>
    <w:rsid w:val="0033592C"/>
    <w:rsid w:val="003361D4"/>
    <w:rsid w:val="0033636D"/>
    <w:rsid w:val="00336D11"/>
    <w:rsid w:val="003401EF"/>
    <w:rsid w:val="00341DA1"/>
    <w:rsid w:val="003430DA"/>
    <w:rsid w:val="00344B7F"/>
    <w:rsid w:val="00345D35"/>
    <w:rsid w:val="00347AD9"/>
    <w:rsid w:val="00350FC9"/>
    <w:rsid w:val="00351931"/>
    <w:rsid w:val="00351B8C"/>
    <w:rsid w:val="0035255B"/>
    <w:rsid w:val="00352DDC"/>
    <w:rsid w:val="00354604"/>
    <w:rsid w:val="003553E9"/>
    <w:rsid w:val="00355753"/>
    <w:rsid w:val="003571DD"/>
    <w:rsid w:val="00360A60"/>
    <w:rsid w:val="00360C76"/>
    <w:rsid w:val="003649B1"/>
    <w:rsid w:val="00364D86"/>
    <w:rsid w:val="0037095B"/>
    <w:rsid w:val="0037293A"/>
    <w:rsid w:val="0037472C"/>
    <w:rsid w:val="00375861"/>
    <w:rsid w:val="00377053"/>
    <w:rsid w:val="00377A38"/>
    <w:rsid w:val="00380112"/>
    <w:rsid w:val="0038025D"/>
    <w:rsid w:val="00381145"/>
    <w:rsid w:val="00381697"/>
    <w:rsid w:val="00382553"/>
    <w:rsid w:val="003869ED"/>
    <w:rsid w:val="003909D4"/>
    <w:rsid w:val="00392237"/>
    <w:rsid w:val="00392B2A"/>
    <w:rsid w:val="00392F40"/>
    <w:rsid w:val="003938CB"/>
    <w:rsid w:val="003965CB"/>
    <w:rsid w:val="00397EF7"/>
    <w:rsid w:val="003A0C95"/>
    <w:rsid w:val="003A1912"/>
    <w:rsid w:val="003A2752"/>
    <w:rsid w:val="003A2C41"/>
    <w:rsid w:val="003A4B98"/>
    <w:rsid w:val="003A4D45"/>
    <w:rsid w:val="003A596D"/>
    <w:rsid w:val="003A5F45"/>
    <w:rsid w:val="003A665E"/>
    <w:rsid w:val="003A6FD2"/>
    <w:rsid w:val="003A7638"/>
    <w:rsid w:val="003A7842"/>
    <w:rsid w:val="003B0085"/>
    <w:rsid w:val="003B1E77"/>
    <w:rsid w:val="003B2636"/>
    <w:rsid w:val="003B2A44"/>
    <w:rsid w:val="003B3960"/>
    <w:rsid w:val="003B7084"/>
    <w:rsid w:val="003C26D2"/>
    <w:rsid w:val="003C32EE"/>
    <w:rsid w:val="003D0668"/>
    <w:rsid w:val="003D09DD"/>
    <w:rsid w:val="003D0FBF"/>
    <w:rsid w:val="003D30B4"/>
    <w:rsid w:val="003D34C7"/>
    <w:rsid w:val="003D7E2E"/>
    <w:rsid w:val="003E0112"/>
    <w:rsid w:val="003E1E0F"/>
    <w:rsid w:val="003E1E50"/>
    <w:rsid w:val="003E3699"/>
    <w:rsid w:val="003E3AF4"/>
    <w:rsid w:val="003F00C2"/>
    <w:rsid w:val="003F0499"/>
    <w:rsid w:val="003F0624"/>
    <w:rsid w:val="003F4568"/>
    <w:rsid w:val="003F747F"/>
    <w:rsid w:val="0040000C"/>
    <w:rsid w:val="0040018E"/>
    <w:rsid w:val="00400EC3"/>
    <w:rsid w:val="00401564"/>
    <w:rsid w:val="00403817"/>
    <w:rsid w:val="004067C9"/>
    <w:rsid w:val="004102FB"/>
    <w:rsid w:val="00410477"/>
    <w:rsid w:val="0041107B"/>
    <w:rsid w:val="004110A6"/>
    <w:rsid w:val="00411875"/>
    <w:rsid w:val="004124EC"/>
    <w:rsid w:val="00413CCA"/>
    <w:rsid w:val="0042054B"/>
    <w:rsid w:val="00420720"/>
    <w:rsid w:val="00422252"/>
    <w:rsid w:val="00422CF7"/>
    <w:rsid w:val="0042349A"/>
    <w:rsid w:val="00424035"/>
    <w:rsid w:val="00424F4B"/>
    <w:rsid w:val="00425525"/>
    <w:rsid w:val="00426378"/>
    <w:rsid w:val="00430691"/>
    <w:rsid w:val="0043183F"/>
    <w:rsid w:val="00431F59"/>
    <w:rsid w:val="004324B8"/>
    <w:rsid w:val="004340DC"/>
    <w:rsid w:val="00437E51"/>
    <w:rsid w:val="00437F19"/>
    <w:rsid w:val="00440246"/>
    <w:rsid w:val="00440D83"/>
    <w:rsid w:val="00441228"/>
    <w:rsid w:val="0044156F"/>
    <w:rsid w:val="004427D1"/>
    <w:rsid w:val="004429BC"/>
    <w:rsid w:val="00444C7C"/>
    <w:rsid w:val="00446634"/>
    <w:rsid w:val="00447082"/>
    <w:rsid w:val="0044732D"/>
    <w:rsid w:val="00447543"/>
    <w:rsid w:val="004507D9"/>
    <w:rsid w:val="0045148B"/>
    <w:rsid w:val="00451711"/>
    <w:rsid w:val="00451ECA"/>
    <w:rsid w:val="00452375"/>
    <w:rsid w:val="00452B2F"/>
    <w:rsid w:val="00454549"/>
    <w:rsid w:val="00455007"/>
    <w:rsid w:val="00455EFC"/>
    <w:rsid w:val="004619AC"/>
    <w:rsid w:val="00462D92"/>
    <w:rsid w:val="00462EFF"/>
    <w:rsid w:val="00463324"/>
    <w:rsid w:val="00463768"/>
    <w:rsid w:val="004637E2"/>
    <w:rsid w:val="00465822"/>
    <w:rsid w:val="00467B47"/>
    <w:rsid w:val="00470F05"/>
    <w:rsid w:val="0047324B"/>
    <w:rsid w:val="00474491"/>
    <w:rsid w:val="004753AD"/>
    <w:rsid w:val="00483114"/>
    <w:rsid w:val="004842A6"/>
    <w:rsid w:val="004849C2"/>
    <w:rsid w:val="00485BD9"/>
    <w:rsid w:val="004910E8"/>
    <w:rsid w:val="00493186"/>
    <w:rsid w:val="00493C28"/>
    <w:rsid w:val="00494C31"/>
    <w:rsid w:val="004966CF"/>
    <w:rsid w:val="004A338C"/>
    <w:rsid w:val="004A5665"/>
    <w:rsid w:val="004A591F"/>
    <w:rsid w:val="004A59F4"/>
    <w:rsid w:val="004A7D16"/>
    <w:rsid w:val="004B0105"/>
    <w:rsid w:val="004B1D53"/>
    <w:rsid w:val="004B1FC4"/>
    <w:rsid w:val="004B2F50"/>
    <w:rsid w:val="004B5BEE"/>
    <w:rsid w:val="004B5F42"/>
    <w:rsid w:val="004C0745"/>
    <w:rsid w:val="004C0C69"/>
    <w:rsid w:val="004C190D"/>
    <w:rsid w:val="004C26C8"/>
    <w:rsid w:val="004C3219"/>
    <w:rsid w:val="004C62A0"/>
    <w:rsid w:val="004C7457"/>
    <w:rsid w:val="004D08D9"/>
    <w:rsid w:val="004D0F71"/>
    <w:rsid w:val="004D17BE"/>
    <w:rsid w:val="004D4442"/>
    <w:rsid w:val="004D4973"/>
    <w:rsid w:val="004D742F"/>
    <w:rsid w:val="004D7AAD"/>
    <w:rsid w:val="004D7F0C"/>
    <w:rsid w:val="004E18F5"/>
    <w:rsid w:val="004E246D"/>
    <w:rsid w:val="004E3378"/>
    <w:rsid w:val="004E3BA2"/>
    <w:rsid w:val="004E5BF0"/>
    <w:rsid w:val="004F1871"/>
    <w:rsid w:val="004F2093"/>
    <w:rsid w:val="004F5465"/>
    <w:rsid w:val="004F63BA"/>
    <w:rsid w:val="004F6A67"/>
    <w:rsid w:val="0050001D"/>
    <w:rsid w:val="00501558"/>
    <w:rsid w:val="00502E60"/>
    <w:rsid w:val="0050379C"/>
    <w:rsid w:val="00504945"/>
    <w:rsid w:val="00504A59"/>
    <w:rsid w:val="00504A6E"/>
    <w:rsid w:val="005066D6"/>
    <w:rsid w:val="00513ED7"/>
    <w:rsid w:val="0051501F"/>
    <w:rsid w:val="005153C6"/>
    <w:rsid w:val="00515CA1"/>
    <w:rsid w:val="0052046C"/>
    <w:rsid w:val="0052285E"/>
    <w:rsid w:val="00522AD6"/>
    <w:rsid w:val="005238CE"/>
    <w:rsid w:val="0052591A"/>
    <w:rsid w:val="005265F8"/>
    <w:rsid w:val="00527103"/>
    <w:rsid w:val="005302BF"/>
    <w:rsid w:val="00531CBB"/>
    <w:rsid w:val="005328EF"/>
    <w:rsid w:val="00534257"/>
    <w:rsid w:val="00534AD8"/>
    <w:rsid w:val="00534C12"/>
    <w:rsid w:val="00534FC7"/>
    <w:rsid w:val="005354FD"/>
    <w:rsid w:val="005363AC"/>
    <w:rsid w:val="00536FB7"/>
    <w:rsid w:val="0054025D"/>
    <w:rsid w:val="00540A21"/>
    <w:rsid w:val="00542C94"/>
    <w:rsid w:val="00543367"/>
    <w:rsid w:val="005455DC"/>
    <w:rsid w:val="00545602"/>
    <w:rsid w:val="00545A10"/>
    <w:rsid w:val="005468BA"/>
    <w:rsid w:val="00546B41"/>
    <w:rsid w:val="00547A1E"/>
    <w:rsid w:val="00551A59"/>
    <w:rsid w:val="00551D41"/>
    <w:rsid w:val="00551F83"/>
    <w:rsid w:val="00553C34"/>
    <w:rsid w:val="005545E2"/>
    <w:rsid w:val="005546AB"/>
    <w:rsid w:val="0056353E"/>
    <w:rsid w:val="00565037"/>
    <w:rsid w:val="00565336"/>
    <w:rsid w:val="005656FF"/>
    <w:rsid w:val="00566C10"/>
    <w:rsid w:val="00567697"/>
    <w:rsid w:val="0057018C"/>
    <w:rsid w:val="00570325"/>
    <w:rsid w:val="00573C46"/>
    <w:rsid w:val="00574D41"/>
    <w:rsid w:val="00575DD4"/>
    <w:rsid w:val="005764B4"/>
    <w:rsid w:val="00582802"/>
    <w:rsid w:val="0058316A"/>
    <w:rsid w:val="005837E9"/>
    <w:rsid w:val="005848A7"/>
    <w:rsid w:val="0058757A"/>
    <w:rsid w:val="005875CE"/>
    <w:rsid w:val="00590712"/>
    <w:rsid w:val="005917EF"/>
    <w:rsid w:val="00591D7E"/>
    <w:rsid w:val="005929D7"/>
    <w:rsid w:val="0059361A"/>
    <w:rsid w:val="00594A14"/>
    <w:rsid w:val="0059668B"/>
    <w:rsid w:val="00596EB4"/>
    <w:rsid w:val="005A1462"/>
    <w:rsid w:val="005A77ED"/>
    <w:rsid w:val="005B2B2F"/>
    <w:rsid w:val="005B2F29"/>
    <w:rsid w:val="005B30F2"/>
    <w:rsid w:val="005B58E0"/>
    <w:rsid w:val="005B6D53"/>
    <w:rsid w:val="005B6E60"/>
    <w:rsid w:val="005C1A5B"/>
    <w:rsid w:val="005C2FF6"/>
    <w:rsid w:val="005C344D"/>
    <w:rsid w:val="005C3858"/>
    <w:rsid w:val="005C4A05"/>
    <w:rsid w:val="005C6039"/>
    <w:rsid w:val="005C77EB"/>
    <w:rsid w:val="005C7870"/>
    <w:rsid w:val="005D2206"/>
    <w:rsid w:val="005D3174"/>
    <w:rsid w:val="005D31D1"/>
    <w:rsid w:val="005D4E36"/>
    <w:rsid w:val="005D55A8"/>
    <w:rsid w:val="005D56D0"/>
    <w:rsid w:val="005E0396"/>
    <w:rsid w:val="005E0ADF"/>
    <w:rsid w:val="005E19D2"/>
    <w:rsid w:val="005E2B71"/>
    <w:rsid w:val="005E2F34"/>
    <w:rsid w:val="005E39DA"/>
    <w:rsid w:val="005E5FA3"/>
    <w:rsid w:val="005E6DD4"/>
    <w:rsid w:val="005E6E7A"/>
    <w:rsid w:val="005E7884"/>
    <w:rsid w:val="005E7DEF"/>
    <w:rsid w:val="005F01EB"/>
    <w:rsid w:val="005F0246"/>
    <w:rsid w:val="005F1ED4"/>
    <w:rsid w:val="005F3531"/>
    <w:rsid w:val="005F54EB"/>
    <w:rsid w:val="005F62A8"/>
    <w:rsid w:val="005F673B"/>
    <w:rsid w:val="006002BD"/>
    <w:rsid w:val="00604078"/>
    <w:rsid w:val="0060549C"/>
    <w:rsid w:val="00605851"/>
    <w:rsid w:val="00606336"/>
    <w:rsid w:val="006067D8"/>
    <w:rsid w:val="00606959"/>
    <w:rsid w:val="006118B5"/>
    <w:rsid w:val="006129A5"/>
    <w:rsid w:val="00613022"/>
    <w:rsid w:val="00614BDE"/>
    <w:rsid w:val="00615060"/>
    <w:rsid w:val="00616057"/>
    <w:rsid w:val="006171EA"/>
    <w:rsid w:val="006208F9"/>
    <w:rsid w:val="00620FE4"/>
    <w:rsid w:val="006236EB"/>
    <w:rsid w:val="006278AC"/>
    <w:rsid w:val="00630D7C"/>
    <w:rsid w:val="0063283B"/>
    <w:rsid w:val="00632FB6"/>
    <w:rsid w:val="0063384A"/>
    <w:rsid w:val="00636C11"/>
    <w:rsid w:val="00636D90"/>
    <w:rsid w:val="00637603"/>
    <w:rsid w:val="00642148"/>
    <w:rsid w:val="00643E77"/>
    <w:rsid w:val="00644039"/>
    <w:rsid w:val="006446AD"/>
    <w:rsid w:val="0064493A"/>
    <w:rsid w:val="0065068D"/>
    <w:rsid w:val="0065153A"/>
    <w:rsid w:val="00651D18"/>
    <w:rsid w:val="0065273A"/>
    <w:rsid w:val="006546E7"/>
    <w:rsid w:val="0065559A"/>
    <w:rsid w:val="00655A24"/>
    <w:rsid w:val="0065605C"/>
    <w:rsid w:val="00656AA6"/>
    <w:rsid w:val="00661476"/>
    <w:rsid w:val="00661D65"/>
    <w:rsid w:val="00662E6F"/>
    <w:rsid w:val="00664965"/>
    <w:rsid w:val="00664F1D"/>
    <w:rsid w:val="00672379"/>
    <w:rsid w:val="00672ACC"/>
    <w:rsid w:val="00674048"/>
    <w:rsid w:val="00674712"/>
    <w:rsid w:val="00677C65"/>
    <w:rsid w:val="00677D4C"/>
    <w:rsid w:val="00680269"/>
    <w:rsid w:val="00681212"/>
    <w:rsid w:val="0068317C"/>
    <w:rsid w:val="00683E74"/>
    <w:rsid w:val="00685E46"/>
    <w:rsid w:val="00686FDE"/>
    <w:rsid w:val="006877F8"/>
    <w:rsid w:val="00687B5F"/>
    <w:rsid w:val="00687F62"/>
    <w:rsid w:val="006907D5"/>
    <w:rsid w:val="00690A6D"/>
    <w:rsid w:val="00691471"/>
    <w:rsid w:val="00692D85"/>
    <w:rsid w:val="00692E86"/>
    <w:rsid w:val="00693210"/>
    <w:rsid w:val="00695FFA"/>
    <w:rsid w:val="006966F5"/>
    <w:rsid w:val="00697F93"/>
    <w:rsid w:val="006A0464"/>
    <w:rsid w:val="006A39F0"/>
    <w:rsid w:val="006A5798"/>
    <w:rsid w:val="006A6064"/>
    <w:rsid w:val="006A7631"/>
    <w:rsid w:val="006A7843"/>
    <w:rsid w:val="006B005C"/>
    <w:rsid w:val="006B4A13"/>
    <w:rsid w:val="006B5596"/>
    <w:rsid w:val="006B5BB1"/>
    <w:rsid w:val="006B7A55"/>
    <w:rsid w:val="006C17F9"/>
    <w:rsid w:val="006C25BE"/>
    <w:rsid w:val="006C422A"/>
    <w:rsid w:val="006D0013"/>
    <w:rsid w:val="006D0E1C"/>
    <w:rsid w:val="006D0F05"/>
    <w:rsid w:val="006D3DDA"/>
    <w:rsid w:val="006D48E2"/>
    <w:rsid w:val="006D4C01"/>
    <w:rsid w:val="006D5287"/>
    <w:rsid w:val="006D7C5C"/>
    <w:rsid w:val="006E1B33"/>
    <w:rsid w:val="006E429E"/>
    <w:rsid w:val="006E4FC4"/>
    <w:rsid w:val="006E5BB6"/>
    <w:rsid w:val="006F3131"/>
    <w:rsid w:val="006F3B4D"/>
    <w:rsid w:val="006F42A1"/>
    <w:rsid w:val="006F6629"/>
    <w:rsid w:val="006F683D"/>
    <w:rsid w:val="0070092D"/>
    <w:rsid w:val="0070294D"/>
    <w:rsid w:val="0070360C"/>
    <w:rsid w:val="007049BC"/>
    <w:rsid w:val="00705E2E"/>
    <w:rsid w:val="0070760E"/>
    <w:rsid w:val="0071028A"/>
    <w:rsid w:val="00712165"/>
    <w:rsid w:val="00713560"/>
    <w:rsid w:val="00714B09"/>
    <w:rsid w:val="00716752"/>
    <w:rsid w:val="00720BCA"/>
    <w:rsid w:val="0072188F"/>
    <w:rsid w:val="00722086"/>
    <w:rsid w:val="0072623F"/>
    <w:rsid w:val="0072673E"/>
    <w:rsid w:val="0073123D"/>
    <w:rsid w:val="00731DE3"/>
    <w:rsid w:val="007325BF"/>
    <w:rsid w:val="00732BE3"/>
    <w:rsid w:val="00733274"/>
    <w:rsid w:val="007365EF"/>
    <w:rsid w:val="00737A1C"/>
    <w:rsid w:val="00742D42"/>
    <w:rsid w:val="0074390E"/>
    <w:rsid w:val="007476E4"/>
    <w:rsid w:val="00747735"/>
    <w:rsid w:val="00750645"/>
    <w:rsid w:val="007506C2"/>
    <w:rsid w:val="00750B87"/>
    <w:rsid w:val="00751294"/>
    <w:rsid w:val="007533AD"/>
    <w:rsid w:val="0075588E"/>
    <w:rsid w:val="00755AAC"/>
    <w:rsid w:val="00755B0E"/>
    <w:rsid w:val="007630DD"/>
    <w:rsid w:val="0076329A"/>
    <w:rsid w:val="007647CC"/>
    <w:rsid w:val="0076562B"/>
    <w:rsid w:val="00766031"/>
    <w:rsid w:val="00770472"/>
    <w:rsid w:val="007709D2"/>
    <w:rsid w:val="0077123A"/>
    <w:rsid w:val="007722EB"/>
    <w:rsid w:val="00781413"/>
    <w:rsid w:val="007822F9"/>
    <w:rsid w:val="007845D2"/>
    <w:rsid w:val="00784842"/>
    <w:rsid w:val="00784F89"/>
    <w:rsid w:val="00786293"/>
    <w:rsid w:val="007879D7"/>
    <w:rsid w:val="00787CFD"/>
    <w:rsid w:val="0079235D"/>
    <w:rsid w:val="00792600"/>
    <w:rsid w:val="007932B1"/>
    <w:rsid w:val="00793CC1"/>
    <w:rsid w:val="00793CC6"/>
    <w:rsid w:val="00794102"/>
    <w:rsid w:val="00794727"/>
    <w:rsid w:val="0079603E"/>
    <w:rsid w:val="0079681F"/>
    <w:rsid w:val="007A173B"/>
    <w:rsid w:val="007A61F1"/>
    <w:rsid w:val="007A6E8A"/>
    <w:rsid w:val="007B077E"/>
    <w:rsid w:val="007B0A37"/>
    <w:rsid w:val="007B0F7D"/>
    <w:rsid w:val="007B1A4B"/>
    <w:rsid w:val="007B2967"/>
    <w:rsid w:val="007B2DFC"/>
    <w:rsid w:val="007B3C46"/>
    <w:rsid w:val="007B49B5"/>
    <w:rsid w:val="007B767C"/>
    <w:rsid w:val="007C0D7F"/>
    <w:rsid w:val="007C26B9"/>
    <w:rsid w:val="007C36F0"/>
    <w:rsid w:val="007C47ED"/>
    <w:rsid w:val="007C7566"/>
    <w:rsid w:val="007D2C1C"/>
    <w:rsid w:val="007D36AA"/>
    <w:rsid w:val="007D3AAB"/>
    <w:rsid w:val="007D4A21"/>
    <w:rsid w:val="007D6CCA"/>
    <w:rsid w:val="007E07E5"/>
    <w:rsid w:val="007E160D"/>
    <w:rsid w:val="007E271A"/>
    <w:rsid w:val="007E2C5D"/>
    <w:rsid w:val="007E2E15"/>
    <w:rsid w:val="007E6BFA"/>
    <w:rsid w:val="007E6E66"/>
    <w:rsid w:val="007E7A81"/>
    <w:rsid w:val="007F0263"/>
    <w:rsid w:val="007F03E4"/>
    <w:rsid w:val="007F0A71"/>
    <w:rsid w:val="007F2249"/>
    <w:rsid w:val="007F4905"/>
    <w:rsid w:val="007F4D97"/>
    <w:rsid w:val="007F55E4"/>
    <w:rsid w:val="007F583C"/>
    <w:rsid w:val="007F629A"/>
    <w:rsid w:val="007F7A99"/>
    <w:rsid w:val="007F7DD2"/>
    <w:rsid w:val="00801AAB"/>
    <w:rsid w:val="008025AF"/>
    <w:rsid w:val="0080336C"/>
    <w:rsid w:val="00803A4D"/>
    <w:rsid w:val="00804231"/>
    <w:rsid w:val="00804DD4"/>
    <w:rsid w:val="00807EE7"/>
    <w:rsid w:val="00807F16"/>
    <w:rsid w:val="00810E32"/>
    <w:rsid w:val="0081101B"/>
    <w:rsid w:val="008114BC"/>
    <w:rsid w:val="008125A6"/>
    <w:rsid w:val="00812F8B"/>
    <w:rsid w:val="00815495"/>
    <w:rsid w:val="0081603F"/>
    <w:rsid w:val="00817531"/>
    <w:rsid w:val="008177AB"/>
    <w:rsid w:val="00817B23"/>
    <w:rsid w:val="008204C5"/>
    <w:rsid w:val="00822892"/>
    <w:rsid w:val="008228C5"/>
    <w:rsid w:val="00824DA7"/>
    <w:rsid w:val="008267F9"/>
    <w:rsid w:val="008321DD"/>
    <w:rsid w:val="00833470"/>
    <w:rsid w:val="008354A7"/>
    <w:rsid w:val="0083561F"/>
    <w:rsid w:val="00835724"/>
    <w:rsid w:val="00844729"/>
    <w:rsid w:val="00845A10"/>
    <w:rsid w:val="00846300"/>
    <w:rsid w:val="00846FA3"/>
    <w:rsid w:val="00851A03"/>
    <w:rsid w:val="00855774"/>
    <w:rsid w:val="00857822"/>
    <w:rsid w:val="008626D0"/>
    <w:rsid w:val="00862E78"/>
    <w:rsid w:val="00863168"/>
    <w:rsid w:val="00865969"/>
    <w:rsid w:val="00872315"/>
    <w:rsid w:val="00872AD9"/>
    <w:rsid w:val="00873442"/>
    <w:rsid w:val="00874BE7"/>
    <w:rsid w:val="00875B70"/>
    <w:rsid w:val="00875EFE"/>
    <w:rsid w:val="00882A93"/>
    <w:rsid w:val="00884093"/>
    <w:rsid w:val="00884353"/>
    <w:rsid w:val="008843D2"/>
    <w:rsid w:val="00884CCA"/>
    <w:rsid w:val="00885C99"/>
    <w:rsid w:val="008912E6"/>
    <w:rsid w:val="0089172B"/>
    <w:rsid w:val="0089289F"/>
    <w:rsid w:val="00892FB9"/>
    <w:rsid w:val="00893960"/>
    <w:rsid w:val="00897036"/>
    <w:rsid w:val="0089723F"/>
    <w:rsid w:val="00897DF1"/>
    <w:rsid w:val="008A0565"/>
    <w:rsid w:val="008A778E"/>
    <w:rsid w:val="008B0653"/>
    <w:rsid w:val="008B1084"/>
    <w:rsid w:val="008B3785"/>
    <w:rsid w:val="008B5B0E"/>
    <w:rsid w:val="008B67E5"/>
    <w:rsid w:val="008B6D60"/>
    <w:rsid w:val="008C0521"/>
    <w:rsid w:val="008C0CE9"/>
    <w:rsid w:val="008C27EA"/>
    <w:rsid w:val="008C4A8A"/>
    <w:rsid w:val="008C5133"/>
    <w:rsid w:val="008C5C54"/>
    <w:rsid w:val="008C7AA4"/>
    <w:rsid w:val="008D1A74"/>
    <w:rsid w:val="008D30A0"/>
    <w:rsid w:val="008D3659"/>
    <w:rsid w:val="008D4416"/>
    <w:rsid w:val="008D5846"/>
    <w:rsid w:val="008D58B0"/>
    <w:rsid w:val="008D69CF"/>
    <w:rsid w:val="008D724F"/>
    <w:rsid w:val="008E094B"/>
    <w:rsid w:val="008E2558"/>
    <w:rsid w:val="008E27F3"/>
    <w:rsid w:val="008E3EFB"/>
    <w:rsid w:val="008E431B"/>
    <w:rsid w:val="008E4FBD"/>
    <w:rsid w:val="008E7AD8"/>
    <w:rsid w:val="008F10A0"/>
    <w:rsid w:val="008F1EEF"/>
    <w:rsid w:val="008F78A0"/>
    <w:rsid w:val="008F7F63"/>
    <w:rsid w:val="00900FB4"/>
    <w:rsid w:val="0090197F"/>
    <w:rsid w:val="00902C6B"/>
    <w:rsid w:val="00902F8C"/>
    <w:rsid w:val="009035C5"/>
    <w:rsid w:val="009058E3"/>
    <w:rsid w:val="00906B89"/>
    <w:rsid w:val="00907CF8"/>
    <w:rsid w:val="00910468"/>
    <w:rsid w:val="00910E44"/>
    <w:rsid w:val="009152F9"/>
    <w:rsid w:val="009158C0"/>
    <w:rsid w:val="0091641F"/>
    <w:rsid w:val="00920D14"/>
    <w:rsid w:val="00921083"/>
    <w:rsid w:val="00921465"/>
    <w:rsid w:val="00924389"/>
    <w:rsid w:val="00925E7E"/>
    <w:rsid w:val="009269C5"/>
    <w:rsid w:val="009273E9"/>
    <w:rsid w:val="0093198F"/>
    <w:rsid w:val="00935EDD"/>
    <w:rsid w:val="0093606E"/>
    <w:rsid w:val="00942132"/>
    <w:rsid w:val="009424C7"/>
    <w:rsid w:val="0094269C"/>
    <w:rsid w:val="009464A5"/>
    <w:rsid w:val="00946583"/>
    <w:rsid w:val="00946796"/>
    <w:rsid w:val="00947CD8"/>
    <w:rsid w:val="00947FF4"/>
    <w:rsid w:val="00950D80"/>
    <w:rsid w:val="00950DE9"/>
    <w:rsid w:val="00951514"/>
    <w:rsid w:val="00952407"/>
    <w:rsid w:val="00952A83"/>
    <w:rsid w:val="00952F5D"/>
    <w:rsid w:val="009562EF"/>
    <w:rsid w:val="009615D0"/>
    <w:rsid w:val="00963C06"/>
    <w:rsid w:val="009645F3"/>
    <w:rsid w:val="00964732"/>
    <w:rsid w:val="00972669"/>
    <w:rsid w:val="00972ABD"/>
    <w:rsid w:val="00972E37"/>
    <w:rsid w:val="00973FB8"/>
    <w:rsid w:val="009741A0"/>
    <w:rsid w:val="00974713"/>
    <w:rsid w:val="00977718"/>
    <w:rsid w:val="00981606"/>
    <w:rsid w:val="0098288A"/>
    <w:rsid w:val="009837F5"/>
    <w:rsid w:val="009868CC"/>
    <w:rsid w:val="00991D95"/>
    <w:rsid w:val="00994562"/>
    <w:rsid w:val="0099515D"/>
    <w:rsid w:val="00995621"/>
    <w:rsid w:val="009968DB"/>
    <w:rsid w:val="0099770B"/>
    <w:rsid w:val="009A4A41"/>
    <w:rsid w:val="009A53C8"/>
    <w:rsid w:val="009A5F8B"/>
    <w:rsid w:val="009A6ED3"/>
    <w:rsid w:val="009B0A54"/>
    <w:rsid w:val="009B150A"/>
    <w:rsid w:val="009B1F77"/>
    <w:rsid w:val="009B1F87"/>
    <w:rsid w:val="009B3081"/>
    <w:rsid w:val="009B5593"/>
    <w:rsid w:val="009B6242"/>
    <w:rsid w:val="009B637F"/>
    <w:rsid w:val="009C0B0A"/>
    <w:rsid w:val="009C1B3B"/>
    <w:rsid w:val="009C2EF9"/>
    <w:rsid w:val="009C3ADE"/>
    <w:rsid w:val="009C3B6A"/>
    <w:rsid w:val="009C6593"/>
    <w:rsid w:val="009C78CE"/>
    <w:rsid w:val="009C7CEA"/>
    <w:rsid w:val="009D09A7"/>
    <w:rsid w:val="009D1AA6"/>
    <w:rsid w:val="009D26E3"/>
    <w:rsid w:val="009E10CD"/>
    <w:rsid w:val="009E1606"/>
    <w:rsid w:val="009E2176"/>
    <w:rsid w:val="009E3102"/>
    <w:rsid w:val="009F2FA8"/>
    <w:rsid w:val="00A01068"/>
    <w:rsid w:val="00A03216"/>
    <w:rsid w:val="00A0376A"/>
    <w:rsid w:val="00A04700"/>
    <w:rsid w:val="00A07DD9"/>
    <w:rsid w:val="00A151D9"/>
    <w:rsid w:val="00A1531E"/>
    <w:rsid w:val="00A172D2"/>
    <w:rsid w:val="00A2130A"/>
    <w:rsid w:val="00A21BAF"/>
    <w:rsid w:val="00A233C4"/>
    <w:rsid w:val="00A2559D"/>
    <w:rsid w:val="00A27851"/>
    <w:rsid w:val="00A27EA0"/>
    <w:rsid w:val="00A30C4E"/>
    <w:rsid w:val="00A30ED5"/>
    <w:rsid w:val="00A312A9"/>
    <w:rsid w:val="00A31A2F"/>
    <w:rsid w:val="00A34084"/>
    <w:rsid w:val="00A351A3"/>
    <w:rsid w:val="00A36024"/>
    <w:rsid w:val="00A36A06"/>
    <w:rsid w:val="00A401A5"/>
    <w:rsid w:val="00A42537"/>
    <w:rsid w:val="00A43545"/>
    <w:rsid w:val="00A441A0"/>
    <w:rsid w:val="00A4423A"/>
    <w:rsid w:val="00A44D98"/>
    <w:rsid w:val="00A45F8F"/>
    <w:rsid w:val="00A45FDE"/>
    <w:rsid w:val="00A54B8A"/>
    <w:rsid w:val="00A56DEF"/>
    <w:rsid w:val="00A5758F"/>
    <w:rsid w:val="00A61488"/>
    <w:rsid w:val="00A64A96"/>
    <w:rsid w:val="00A65AD3"/>
    <w:rsid w:val="00A66500"/>
    <w:rsid w:val="00A6794B"/>
    <w:rsid w:val="00A701D5"/>
    <w:rsid w:val="00A714E0"/>
    <w:rsid w:val="00A71D64"/>
    <w:rsid w:val="00A73C34"/>
    <w:rsid w:val="00A746B3"/>
    <w:rsid w:val="00A74B78"/>
    <w:rsid w:val="00A74BD6"/>
    <w:rsid w:val="00A80F3E"/>
    <w:rsid w:val="00A81BE2"/>
    <w:rsid w:val="00A8734B"/>
    <w:rsid w:val="00A902EB"/>
    <w:rsid w:val="00A90BA7"/>
    <w:rsid w:val="00A90C76"/>
    <w:rsid w:val="00A90ECA"/>
    <w:rsid w:val="00A919FB"/>
    <w:rsid w:val="00A929B5"/>
    <w:rsid w:val="00A93AF4"/>
    <w:rsid w:val="00A944C3"/>
    <w:rsid w:val="00A944FA"/>
    <w:rsid w:val="00A97237"/>
    <w:rsid w:val="00A97614"/>
    <w:rsid w:val="00A97D4A"/>
    <w:rsid w:val="00AA0472"/>
    <w:rsid w:val="00AA40CD"/>
    <w:rsid w:val="00AA5FE7"/>
    <w:rsid w:val="00AA7618"/>
    <w:rsid w:val="00AB0707"/>
    <w:rsid w:val="00AB1108"/>
    <w:rsid w:val="00AB2F47"/>
    <w:rsid w:val="00AB45E5"/>
    <w:rsid w:val="00AB5CF2"/>
    <w:rsid w:val="00AC19AD"/>
    <w:rsid w:val="00AC3610"/>
    <w:rsid w:val="00AC5713"/>
    <w:rsid w:val="00AC69BB"/>
    <w:rsid w:val="00AD1D1A"/>
    <w:rsid w:val="00AD2809"/>
    <w:rsid w:val="00AD2A78"/>
    <w:rsid w:val="00AD41E5"/>
    <w:rsid w:val="00AD46D0"/>
    <w:rsid w:val="00AD6F9E"/>
    <w:rsid w:val="00AE4B43"/>
    <w:rsid w:val="00AE5D00"/>
    <w:rsid w:val="00AE67AE"/>
    <w:rsid w:val="00AF1365"/>
    <w:rsid w:val="00AF2705"/>
    <w:rsid w:val="00AF2BB1"/>
    <w:rsid w:val="00AF6E99"/>
    <w:rsid w:val="00AF739D"/>
    <w:rsid w:val="00AF74CA"/>
    <w:rsid w:val="00B014F5"/>
    <w:rsid w:val="00B04788"/>
    <w:rsid w:val="00B05B07"/>
    <w:rsid w:val="00B05B96"/>
    <w:rsid w:val="00B05D97"/>
    <w:rsid w:val="00B06BA2"/>
    <w:rsid w:val="00B134DA"/>
    <w:rsid w:val="00B14DC2"/>
    <w:rsid w:val="00B15C88"/>
    <w:rsid w:val="00B15D7D"/>
    <w:rsid w:val="00B17B72"/>
    <w:rsid w:val="00B17CC9"/>
    <w:rsid w:val="00B214FC"/>
    <w:rsid w:val="00B22345"/>
    <w:rsid w:val="00B23D10"/>
    <w:rsid w:val="00B24105"/>
    <w:rsid w:val="00B258C0"/>
    <w:rsid w:val="00B25F61"/>
    <w:rsid w:val="00B301F9"/>
    <w:rsid w:val="00B3225A"/>
    <w:rsid w:val="00B369B4"/>
    <w:rsid w:val="00B36ABF"/>
    <w:rsid w:val="00B37795"/>
    <w:rsid w:val="00B37E10"/>
    <w:rsid w:val="00B413D0"/>
    <w:rsid w:val="00B42B77"/>
    <w:rsid w:val="00B4387D"/>
    <w:rsid w:val="00B501FA"/>
    <w:rsid w:val="00B521D4"/>
    <w:rsid w:val="00B52AD8"/>
    <w:rsid w:val="00B543D6"/>
    <w:rsid w:val="00B55330"/>
    <w:rsid w:val="00B5563E"/>
    <w:rsid w:val="00B566B9"/>
    <w:rsid w:val="00B61952"/>
    <w:rsid w:val="00B6260A"/>
    <w:rsid w:val="00B6484E"/>
    <w:rsid w:val="00B65B2D"/>
    <w:rsid w:val="00B671BA"/>
    <w:rsid w:val="00B72AFA"/>
    <w:rsid w:val="00B73F95"/>
    <w:rsid w:val="00B7422B"/>
    <w:rsid w:val="00B74509"/>
    <w:rsid w:val="00B752F1"/>
    <w:rsid w:val="00B77E05"/>
    <w:rsid w:val="00B80E84"/>
    <w:rsid w:val="00B810A6"/>
    <w:rsid w:val="00B829DE"/>
    <w:rsid w:val="00B83F5F"/>
    <w:rsid w:val="00B85064"/>
    <w:rsid w:val="00B85687"/>
    <w:rsid w:val="00B85BE0"/>
    <w:rsid w:val="00B85F8A"/>
    <w:rsid w:val="00B87500"/>
    <w:rsid w:val="00B912D7"/>
    <w:rsid w:val="00B925FB"/>
    <w:rsid w:val="00B92837"/>
    <w:rsid w:val="00B96463"/>
    <w:rsid w:val="00B96F28"/>
    <w:rsid w:val="00B97D0B"/>
    <w:rsid w:val="00B97E50"/>
    <w:rsid w:val="00BA0121"/>
    <w:rsid w:val="00BA1749"/>
    <w:rsid w:val="00BA21B4"/>
    <w:rsid w:val="00BA3625"/>
    <w:rsid w:val="00BA3F67"/>
    <w:rsid w:val="00BA484B"/>
    <w:rsid w:val="00BA5164"/>
    <w:rsid w:val="00BA5761"/>
    <w:rsid w:val="00BA5DDD"/>
    <w:rsid w:val="00BA7333"/>
    <w:rsid w:val="00BB4C46"/>
    <w:rsid w:val="00BB595D"/>
    <w:rsid w:val="00BC3605"/>
    <w:rsid w:val="00BC429E"/>
    <w:rsid w:val="00BC5AAA"/>
    <w:rsid w:val="00BC6EA1"/>
    <w:rsid w:val="00BD0768"/>
    <w:rsid w:val="00BD08D0"/>
    <w:rsid w:val="00BD0D61"/>
    <w:rsid w:val="00BD1035"/>
    <w:rsid w:val="00BD33F0"/>
    <w:rsid w:val="00BD4324"/>
    <w:rsid w:val="00BD4E27"/>
    <w:rsid w:val="00BD4F05"/>
    <w:rsid w:val="00BD57C9"/>
    <w:rsid w:val="00BD6253"/>
    <w:rsid w:val="00BD70A6"/>
    <w:rsid w:val="00BE2EFB"/>
    <w:rsid w:val="00BE3BE3"/>
    <w:rsid w:val="00BE7829"/>
    <w:rsid w:val="00BF03AB"/>
    <w:rsid w:val="00BF0702"/>
    <w:rsid w:val="00BF098D"/>
    <w:rsid w:val="00BF0D56"/>
    <w:rsid w:val="00BF5CFB"/>
    <w:rsid w:val="00BF69DE"/>
    <w:rsid w:val="00C00984"/>
    <w:rsid w:val="00C00B2F"/>
    <w:rsid w:val="00C00DD2"/>
    <w:rsid w:val="00C013D5"/>
    <w:rsid w:val="00C0171A"/>
    <w:rsid w:val="00C0322A"/>
    <w:rsid w:val="00C03E87"/>
    <w:rsid w:val="00C04079"/>
    <w:rsid w:val="00C0660C"/>
    <w:rsid w:val="00C072A5"/>
    <w:rsid w:val="00C07AB5"/>
    <w:rsid w:val="00C07C13"/>
    <w:rsid w:val="00C11A8E"/>
    <w:rsid w:val="00C1287F"/>
    <w:rsid w:val="00C13214"/>
    <w:rsid w:val="00C14E37"/>
    <w:rsid w:val="00C16D28"/>
    <w:rsid w:val="00C2180F"/>
    <w:rsid w:val="00C21A3C"/>
    <w:rsid w:val="00C22410"/>
    <w:rsid w:val="00C22BDE"/>
    <w:rsid w:val="00C2436D"/>
    <w:rsid w:val="00C24817"/>
    <w:rsid w:val="00C266F6"/>
    <w:rsid w:val="00C26734"/>
    <w:rsid w:val="00C26EF6"/>
    <w:rsid w:val="00C2764D"/>
    <w:rsid w:val="00C318AA"/>
    <w:rsid w:val="00C3280C"/>
    <w:rsid w:val="00C329B0"/>
    <w:rsid w:val="00C3331E"/>
    <w:rsid w:val="00C33C34"/>
    <w:rsid w:val="00C369A4"/>
    <w:rsid w:val="00C37393"/>
    <w:rsid w:val="00C37556"/>
    <w:rsid w:val="00C379BE"/>
    <w:rsid w:val="00C43EC5"/>
    <w:rsid w:val="00C45EE5"/>
    <w:rsid w:val="00C466FB"/>
    <w:rsid w:val="00C476F5"/>
    <w:rsid w:val="00C502A1"/>
    <w:rsid w:val="00C507A6"/>
    <w:rsid w:val="00C50B2C"/>
    <w:rsid w:val="00C513F9"/>
    <w:rsid w:val="00C522BD"/>
    <w:rsid w:val="00C57C02"/>
    <w:rsid w:val="00C61A05"/>
    <w:rsid w:val="00C62E78"/>
    <w:rsid w:val="00C63708"/>
    <w:rsid w:val="00C637C4"/>
    <w:rsid w:val="00C64060"/>
    <w:rsid w:val="00C6459D"/>
    <w:rsid w:val="00C667D1"/>
    <w:rsid w:val="00C673BF"/>
    <w:rsid w:val="00C72FC4"/>
    <w:rsid w:val="00C74B80"/>
    <w:rsid w:val="00C761F1"/>
    <w:rsid w:val="00C800FE"/>
    <w:rsid w:val="00C8401A"/>
    <w:rsid w:val="00C84C33"/>
    <w:rsid w:val="00C8577F"/>
    <w:rsid w:val="00C85928"/>
    <w:rsid w:val="00C85DB9"/>
    <w:rsid w:val="00C92A32"/>
    <w:rsid w:val="00C934A6"/>
    <w:rsid w:val="00C951EF"/>
    <w:rsid w:val="00C9528D"/>
    <w:rsid w:val="00C9559B"/>
    <w:rsid w:val="00C96188"/>
    <w:rsid w:val="00C961C2"/>
    <w:rsid w:val="00C96419"/>
    <w:rsid w:val="00CA0A7D"/>
    <w:rsid w:val="00CA353F"/>
    <w:rsid w:val="00CA40EE"/>
    <w:rsid w:val="00CA4459"/>
    <w:rsid w:val="00CA73E7"/>
    <w:rsid w:val="00CB02AB"/>
    <w:rsid w:val="00CB0C07"/>
    <w:rsid w:val="00CB2BB0"/>
    <w:rsid w:val="00CB39A5"/>
    <w:rsid w:val="00CB4082"/>
    <w:rsid w:val="00CB5302"/>
    <w:rsid w:val="00CB5C7A"/>
    <w:rsid w:val="00CB5FBA"/>
    <w:rsid w:val="00CC3602"/>
    <w:rsid w:val="00CC3A7F"/>
    <w:rsid w:val="00CC3C58"/>
    <w:rsid w:val="00CC4AF0"/>
    <w:rsid w:val="00CC7B88"/>
    <w:rsid w:val="00CD074D"/>
    <w:rsid w:val="00CD0997"/>
    <w:rsid w:val="00CD1B15"/>
    <w:rsid w:val="00CD267F"/>
    <w:rsid w:val="00CD3AF3"/>
    <w:rsid w:val="00CD4CA8"/>
    <w:rsid w:val="00CD5125"/>
    <w:rsid w:val="00CD6E28"/>
    <w:rsid w:val="00CD6E45"/>
    <w:rsid w:val="00CE002D"/>
    <w:rsid w:val="00CE2B1A"/>
    <w:rsid w:val="00CE31CA"/>
    <w:rsid w:val="00CE4602"/>
    <w:rsid w:val="00CE5AB3"/>
    <w:rsid w:val="00CE6565"/>
    <w:rsid w:val="00CE7E9E"/>
    <w:rsid w:val="00CF0AA5"/>
    <w:rsid w:val="00CF0B4B"/>
    <w:rsid w:val="00CF1932"/>
    <w:rsid w:val="00CF26A4"/>
    <w:rsid w:val="00CF314C"/>
    <w:rsid w:val="00CF421B"/>
    <w:rsid w:val="00CF608C"/>
    <w:rsid w:val="00CF6F30"/>
    <w:rsid w:val="00D016C2"/>
    <w:rsid w:val="00D0295F"/>
    <w:rsid w:val="00D042B9"/>
    <w:rsid w:val="00D0641C"/>
    <w:rsid w:val="00D112CB"/>
    <w:rsid w:val="00D116CB"/>
    <w:rsid w:val="00D1222F"/>
    <w:rsid w:val="00D13543"/>
    <w:rsid w:val="00D13E33"/>
    <w:rsid w:val="00D14732"/>
    <w:rsid w:val="00D148CC"/>
    <w:rsid w:val="00D158A8"/>
    <w:rsid w:val="00D15B87"/>
    <w:rsid w:val="00D16395"/>
    <w:rsid w:val="00D16FE8"/>
    <w:rsid w:val="00D201C3"/>
    <w:rsid w:val="00D218FA"/>
    <w:rsid w:val="00D227F8"/>
    <w:rsid w:val="00D228C1"/>
    <w:rsid w:val="00D229FF"/>
    <w:rsid w:val="00D24894"/>
    <w:rsid w:val="00D272C2"/>
    <w:rsid w:val="00D30644"/>
    <w:rsid w:val="00D32F9D"/>
    <w:rsid w:val="00D3377B"/>
    <w:rsid w:val="00D340C9"/>
    <w:rsid w:val="00D36421"/>
    <w:rsid w:val="00D37034"/>
    <w:rsid w:val="00D37E9C"/>
    <w:rsid w:val="00D40DA7"/>
    <w:rsid w:val="00D411F2"/>
    <w:rsid w:val="00D41DAB"/>
    <w:rsid w:val="00D45D8E"/>
    <w:rsid w:val="00D50E9D"/>
    <w:rsid w:val="00D565D4"/>
    <w:rsid w:val="00D6054B"/>
    <w:rsid w:val="00D64675"/>
    <w:rsid w:val="00D656B6"/>
    <w:rsid w:val="00D660EE"/>
    <w:rsid w:val="00D679C6"/>
    <w:rsid w:val="00D7016D"/>
    <w:rsid w:val="00D714DC"/>
    <w:rsid w:val="00D71A30"/>
    <w:rsid w:val="00D73FDC"/>
    <w:rsid w:val="00D756FC"/>
    <w:rsid w:val="00D76D98"/>
    <w:rsid w:val="00D77423"/>
    <w:rsid w:val="00D80461"/>
    <w:rsid w:val="00D83EC5"/>
    <w:rsid w:val="00D841F9"/>
    <w:rsid w:val="00D8450A"/>
    <w:rsid w:val="00D85F23"/>
    <w:rsid w:val="00D871C9"/>
    <w:rsid w:val="00D90A85"/>
    <w:rsid w:val="00D91280"/>
    <w:rsid w:val="00D9189B"/>
    <w:rsid w:val="00D921CA"/>
    <w:rsid w:val="00D924A0"/>
    <w:rsid w:val="00D95158"/>
    <w:rsid w:val="00D95611"/>
    <w:rsid w:val="00D96FB9"/>
    <w:rsid w:val="00D96FEE"/>
    <w:rsid w:val="00D97A2C"/>
    <w:rsid w:val="00DA0950"/>
    <w:rsid w:val="00DA1687"/>
    <w:rsid w:val="00DA1BBD"/>
    <w:rsid w:val="00DA1F36"/>
    <w:rsid w:val="00DA6278"/>
    <w:rsid w:val="00DA7D09"/>
    <w:rsid w:val="00DB0278"/>
    <w:rsid w:val="00DB2E88"/>
    <w:rsid w:val="00DB3D82"/>
    <w:rsid w:val="00DB65FF"/>
    <w:rsid w:val="00DB6A34"/>
    <w:rsid w:val="00DB75E8"/>
    <w:rsid w:val="00DB76EB"/>
    <w:rsid w:val="00DC0E6D"/>
    <w:rsid w:val="00DC1C44"/>
    <w:rsid w:val="00DC22E9"/>
    <w:rsid w:val="00DC26B7"/>
    <w:rsid w:val="00DC47DE"/>
    <w:rsid w:val="00DC5C5D"/>
    <w:rsid w:val="00DC7F6C"/>
    <w:rsid w:val="00DD0C45"/>
    <w:rsid w:val="00DD2D0A"/>
    <w:rsid w:val="00DD39EB"/>
    <w:rsid w:val="00DD40CB"/>
    <w:rsid w:val="00DD4550"/>
    <w:rsid w:val="00DD4F12"/>
    <w:rsid w:val="00DD58F8"/>
    <w:rsid w:val="00DD7748"/>
    <w:rsid w:val="00DE0EE9"/>
    <w:rsid w:val="00DE48BF"/>
    <w:rsid w:val="00DE6E42"/>
    <w:rsid w:val="00DF3E9B"/>
    <w:rsid w:val="00DF435F"/>
    <w:rsid w:val="00DF532B"/>
    <w:rsid w:val="00DF668C"/>
    <w:rsid w:val="00DF7030"/>
    <w:rsid w:val="00DF7878"/>
    <w:rsid w:val="00DF79A2"/>
    <w:rsid w:val="00E03BCC"/>
    <w:rsid w:val="00E03FE5"/>
    <w:rsid w:val="00E040A1"/>
    <w:rsid w:val="00E06596"/>
    <w:rsid w:val="00E06FA2"/>
    <w:rsid w:val="00E07B02"/>
    <w:rsid w:val="00E07DFE"/>
    <w:rsid w:val="00E07FD8"/>
    <w:rsid w:val="00E11C9F"/>
    <w:rsid w:val="00E12A29"/>
    <w:rsid w:val="00E14695"/>
    <w:rsid w:val="00E1525D"/>
    <w:rsid w:val="00E156C4"/>
    <w:rsid w:val="00E2047E"/>
    <w:rsid w:val="00E2130D"/>
    <w:rsid w:val="00E217FB"/>
    <w:rsid w:val="00E23E8E"/>
    <w:rsid w:val="00E2587D"/>
    <w:rsid w:val="00E26925"/>
    <w:rsid w:val="00E26946"/>
    <w:rsid w:val="00E26D01"/>
    <w:rsid w:val="00E31AFA"/>
    <w:rsid w:val="00E31CD9"/>
    <w:rsid w:val="00E33D82"/>
    <w:rsid w:val="00E341B6"/>
    <w:rsid w:val="00E362EB"/>
    <w:rsid w:val="00E37009"/>
    <w:rsid w:val="00E408CC"/>
    <w:rsid w:val="00E41546"/>
    <w:rsid w:val="00E4195A"/>
    <w:rsid w:val="00E445AD"/>
    <w:rsid w:val="00E44BC1"/>
    <w:rsid w:val="00E44E04"/>
    <w:rsid w:val="00E462B1"/>
    <w:rsid w:val="00E55717"/>
    <w:rsid w:val="00E57A8A"/>
    <w:rsid w:val="00E60C3C"/>
    <w:rsid w:val="00E613B0"/>
    <w:rsid w:val="00E61827"/>
    <w:rsid w:val="00E62F6F"/>
    <w:rsid w:val="00E63270"/>
    <w:rsid w:val="00E64B75"/>
    <w:rsid w:val="00E64DA9"/>
    <w:rsid w:val="00E7084D"/>
    <w:rsid w:val="00E74A63"/>
    <w:rsid w:val="00E762EC"/>
    <w:rsid w:val="00E778E7"/>
    <w:rsid w:val="00E77F0F"/>
    <w:rsid w:val="00E804F3"/>
    <w:rsid w:val="00E8123E"/>
    <w:rsid w:val="00E81AC0"/>
    <w:rsid w:val="00E82FD9"/>
    <w:rsid w:val="00E85525"/>
    <w:rsid w:val="00E86178"/>
    <w:rsid w:val="00E86F9D"/>
    <w:rsid w:val="00E8710A"/>
    <w:rsid w:val="00E87F7B"/>
    <w:rsid w:val="00E908A1"/>
    <w:rsid w:val="00E92497"/>
    <w:rsid w:val="00E951D7"/>
    <w:rsid w:val="00E95BD0"/>
    <w:rsid w:val="00E96043"/>
    <w:rsid w:val="00E9752B"/>
    <w:rsid w:val="00EA5B67"/>
    <w:rsid w:val="00EA71B7"/>
    <w:rsid w:val="00EB4623"/>
    <w:rsid w:val="00EB548B"/>
    <w:rsid w:val="00EB5ED5"/>
    <w:rsid w:val="00EB637E"/>
    <w:rsid w:val="00EB65D5"/>
    <w:rsid w:val="00EB7215"/>
    <w:rsid w:val="00EC0A9B"/>
    <w:rsid w:val="00EC0C1F"/>
    <w:rsid w:val="00EC2A3D"/>
    <w:rsid w:val="00EC3ADE"/>
    <w:rsid w:val="00EC79E4"/>
    <w:rsid w:val="00ED02D9"/>
    <w:rsid w:val="00ED14DA"/>
    <w:rsid w:val="00ED1920"/>
    <w:rsid w:val="00ED217A"/>
    <w:rsid w:val="00ED32BD"/>
    <w:rsid w:val="00ED5DA1"/>
    <w:rsid w:val="00ED5F9F"/>
    <w:rsid w:val="00ED5FE7"/>
    <w:rsid w:val="00ED6166"/>
    <w:rsid w:val="00ED6AA0"/>
    <w:rsid w:val="00ED7AD8"/>
    <w:rsid w:val="00EE15A4"/>
    <w:rsid w:val="00EE29A4"/>
    <w:rsid w:val="00EE37DE"/>
    <w:rsid w:val="00EE4507"/>
    <w:rsid w:val="00EE528F"/>
    <w:rsid w:val="00EE60CF"/>
    <w:rsid w:val="00EE6140"/>
    <w:rsid w:val="00EF0728"/>
    <w:rsid w:val="00EF090B"/>
    <w:rsid w:val="00EF0A76"/>
    <w:rsid w:val="00EF14E3"/>
    <w:rsid w:val="00EF1560"/>
    <w:rsid w:val="00EF1E45"/>
    <w:rsid w:val="00EF215E"/>
    <w:rsid w:val="00EF3399"/>
    <w:rsid w:val="00EF400A"/>
    <w:rsid w:val="00EF4280"/>
    <w:rsid w:val="00EF5CCA"/>
    <w:rsid w:val="00EF76CC"/>
    <w:rsid w:val="00EF7DD6"/>
    <w:rsid w:val="00F03BDA"/>
    <w:rsid w:val="00F06AAB"/>
    <w:rsid w:val="00F07917"/>
    <w:rsid w:val="00F1280F"/>
    <w:rsid w:val="00F13904"/>
    <w:rsid w:val="00F14B58"/>
    <w:rsid w:val="00F175B3"/>
    <w:rsid w:val="00F24BE9"/>
    <w:rsid w:val="00F26491"/>
    <w:rsid w:val="00F2787A"/>
    <w:rsid w:val="00F31620"/>
    <w:rsid w:val="00F32BA3"/>
    <w:rsid w:val="00F33474"/>
    <w:rsid w:val="00F33B3E"/>
    <w:rsid w:val="00F36373"/>
    <w:rsid w:val="00F3736E"/>
    <w:rsid w:val="00F40243"/>
    <w:rsid w:val="00F4164B"/>
    <w:rsid w:val="00F42481"/>
    <w:rsid w:val="00F444CE"/>
    <w:rsid w:val="00F453AE"/>
    <w:rsid w:val="00F46355"/>
    <w:rsid w:val="00F50023"/>
    <w:rsid w:val="00F510E8"/>
    <w:rsid w:val="00F53CEC"/>
    <w:rsid w:val="00F57525"/>
    <w:rsid w:val="00F60602"/>
    <w:rsid w:val="00F60BA4"/>
    <w:rsid w:val="00F629AE"/>
    <w:rsid w:val="00F63EAF"/>
    <w:rsid w:val="00F63EBC"/>
    <w:rsid w:val="00F662B1"/>
    <w:rsid w:val="00F67317"/>
    <w:rsid w:val="00F6778E"/>
    <w:rsid w:val="00F70BCB"/>
    <w:rsid w:val="00F70CED"/>
    <w:rsid w:val="00F70FA1"/>
    <w:rsid w:val="00F732F8"/>
    <w:rsid w:val="00F74394"/>
    <w:rsid w:val="00F74DC0"/>
    <w:rsid w:val="00F754C4"/>
    <w:rsid w:val="00F75D50"/>
    <w:rsid w:val="00F77034"/>
    <w:rsid w:val="00F8154C"/>
    <w:rsid w:val="00F83DDE"/>
    <w:rsid w:val="00F83E08"/>
    <w:rsid w:val="00F85F77"/>
    <w:rsid w:val="00F86066"/>
    <w:rsid w:val="00F860ED"/>
    <w:rsid w:val="00F873D8"/>
    <w:rsid w:val="00F8757A"/>
    <w:rsid w:val="00F87C4B"/>
    <w:rsid w:val="00F9083C"/>
    <w:rsid w:val="00F94B60"/>
    <w:rsid w:val="00F96081"/>
    <w:rsid w:val="00F96627"/>
    <w:rsid w:val="00F97B14"/>
    <w:rsid w:val="00FA1625"/>
    <w:rsid w:val="00FA2893"/>
    <w:rsid w:val="00FA4BE9"/>
    <w:rsid w:val="00FB0EAE"/>
    <w:rsid w:val="00FB2CC7"/>
    <w:rsid w:val="00FB3CFA"/>
    <w:rsid w:val="00FC223E"/>
    <w:rsid w:val="00FC25DB"/>
    <w:rsid w:val="00FC3B60"/>
    <w:rsid w:val="00FC471B"/>
    <w:rsid w:val="00FC7D21"/>
    <w:rsid w:val="00FD3E6E"/>
    <w:rsid w:val="00FD4C59"/>
    <w:rsid w:val="00FD5DE3"/>
    <w:rsid w:val="00FD7507"/>
    <w:rsid w:val="00FE1FA7"/>
    <w:rsid w:val="00FE351F"/>
    <w:rsid w:val="00FE51A1"/>
    <w:rsid w:val="00FE7437"/>
    <w:rsid w:val="00FE7E8C"/>
    <w:rsid w:val="00FF0EC1"/>
    <w:rsid w:val="00FF12BD"/>
    <w:rsid w:val="00FF1442"/>
    <w:rsid w:val="00FF1C6A"/>
    <w:rsid w:val="00FF28FA"/>
    <w:rsid w:val="00FF2E53"/>
    <w:rsid w:val="00FF3D08"/>
    <w:rsid w:val="108E5940"/>
    <w:rsid w:val="1B530147"/>
    <w:rsid w:val="2B7134A3"/>
    <w:rsid w:val="2D3816C0"/>
    <w:rsid w:val="3200053D"/>
    <w:rsid w:val="38D2143D"/>
    <w:rsid w:val="39D236E7"/>
    <w:rsid w:val="432F373D"/>
    <w:rsid w:val="71410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uiPriority w:val="99"/>
    <w:rPr>
      <w:sz w:val="18"/>
      <w:szCs w:val="18"/>
    </w:rPr>
  </w:style>
  <w:style w:type="character" w:customStyle="1" w:styleId="9">
    <w:name w:val="页脚 Char"/>
    <w:basedOn w:val="7"/>
    <w:link w:val="3"/>
    <w:uiPriority w:val="99"/>
    <w:rPr>
      <w:sz w:val="18"/>
      <w:szCs w:val="18"/>
    </w:rPr>
  </w:style>
  <w:style w:type="character" w:customStyle="1" w:styleId="10">
    <w:name w:val="批注框文本 Char"/>
    <w:basedOn w:val="7"/>
    <w:link w:val="2"/>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1177</Words>
  <Characters>1236</Characters>
  <Lines>176</Lines>
  <Paragraphs>92</Paragraphs>
  <TotalTime>2</TotalTime>
  <ScaleCrop>false</ScaleCrop>
  <LinksUpToDate>false</LinksUpToDate>
  <CharactersWithSpaces>2321</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2024-09-25T03:16:00Z</dcterms:created>
  <dc:creator>郑森文(20171067)</dc:creator>
  <cp:lastModifiedBy>Administrator</cp:lastModifiedBy>
  <cp:lastPrinted>2024-09-26T02:35:00Z</cp:lastPrinted>
  <dcterms:modified xsi:type="dcterms:W3CDTF">2024-09-26T06:22:13Z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B55F1900363245DA951FB3CBAAFFD76A</vt:lpwstr>
  </property>
</Properties>
</file>